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00"/>
      </w:pPr>
      <w:r>
        <w:rPr>
          <w:color w:val="087F8C"/>
          <w:sz w:val="20"/>
        </w:rPr>
        <w:t>АРХИТЕКТУРА  /  ПРОДУКТ  /  РЕАЛИЗАЦИЯ</w:t>
      </w:r>
    </w:p>
    <w:p>
      <w:pPr>
        <w:pStyle w:val="Title"/>
      </w:pPr>
      <w:r>
        <w:t>Корпоративный</w:t>
        <w:br/>
        <w:t>агентный портал</w:t>
      </w:r>
    </w:p>
    <w:p>
      <w:pPr>
        <w:spacing w:after="500"/>
      </w:pPr>
      <w:r>
        <w:rPr>
          <w:color w:val="546579"/>
          <w:sz w:val="30"/>
        </w:rPr>
        <w:t>Функциональная концепция и техническая архитектура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427"/>
      </w:tblGrid>
      <w:tr>
        <w:trPr>
          <w:tblHeader/>
          <w:cantSplit/>
        </w:trPr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Версия / дата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0.1 / 02 октября 2026 года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Статус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Проект для обсуждения и последующего согласования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Объект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Портал, подключение моделей, агентные сценарии и эксплуатация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Граница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Развёртывание, обучение и GPU-инфраструктура моделей вне проекта</w:t>
            </w:r>
          </w:p>
        </w:tc>
      </w:tr>
      <w:tr>
        <w:trPr>
          <w:cantSplit/>
        </w:trPr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Документ</w:t>
            </w:r>
          </w:p>
        </w:tc>
        <w:tc>
          <w:tcPr>
            <w:tcW w:type="dxa" w:w="742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Описание целевой системы</w:t>
            </w:r>
          </w:p>
        </w:tc>
      </w:tr>
    </w:tbl>
    <w:p>
      <w:pPr>
        <w:spacing w:after="40"/>
      </w:pPr>
    </w:p>
    <w:p>
      <w:r>
        <w:rPr>
          <w:b/>
        </w:rPr>
        <w:t>Принцип:</w:t>
      </w:r>
      <w:r>
        <w:t xml:space="preserve"> пользователь собирает помощника из разрешённых возможностей; платформа обеспечивает доступ, бюджет, выполнение и проверяемый результат.</w:t>
      </w:r>
    </w:p>
    <w:p>
      <w:pPr>
        <w:spacing w:before="240"/>
      </w:pPr>
      <w:r>
        <w:t>Сроки, ресурсы и целевые показатели являются проектными оценками. Функциональность не объявляется уже реализованной. Выбор агентного runtime подтверждается сравнительными испытаниями.</w:t>
      </w:r>
    </w:p>
    <w:p>
      <w:r>
        <w:br w:type="page"/>
      </w:r>
    </w:p>
    <w:p>
      <w:pPr>
        <w:pStyle w:val="Heading1"/>
      </w:pPr>
      <w:r>
        <w:t>Содержание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071"/>
        <w:gridCol w:w="737"/>
      </w:tblGrid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1. Назначение и основные решения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3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2. Границы проекта и этапы поставки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4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3. Пользователи и рабочий интерфейс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6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4. Каталог функциональных требований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8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5. Технологический стек и альтернативы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10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6. Логическая архитектура и компоненты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12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7. Данные и основные контракты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14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8. Подключение внутренних и внешних моделей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16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9. Идентификация, LDAP и локальные группы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17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10. Пространства, роли и политика доступа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18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11. Лимиты, бюджетные счета и учёт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19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12. Аналитика расхода, использования и совместного доступа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21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13. Выбор агентного runtime и опыт Anthropic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23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14. Экономика токенов и сравнительные испытания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25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15. Помощники и конструктор сценариев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27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16. Жизненный цикл задания и восстановление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28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17. Веб-поиск и контролируемый fetch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30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18. Работа с документами и файлами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31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19. RAG и базы знаний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32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20. Код и изолированные рабочие среды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33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21. MCP, инструменты и плагины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34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22. SMTP и уведомления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35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23. Единая администрация и оркестраторы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36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24. Сетевая архитектура и матрица доступов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38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25. Хранилища, секреты и сроки хранения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41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26. Развёртывание и отказоустойчивость без обязательного Kubernetes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42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27. Сайзинг серверов приложения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43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28. Offline-установка, обновление и восстановление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46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29. Наблюдаемость, аудит и безопасность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47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30. Проверки и критерии приёмки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48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31. Порядок реализации и результаты этапов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50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32. Риски, предположения и открытые решения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52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33. Источники и терминология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53</w:t>
            </w:r>
          </w:p>
        </w:tc>
      </w:tr>
      <w:tr>
        <w:tc>
          <w:tcPr>
            <w:tcW w:type="dxa" w:w="9071"/>
          </w:tcPr>
          <w:p>
            <w:pPr>
              <w:spacing w:after="60" w:line="240" w:lineRule="auto"/>
            </w:pPr>
            <w:r>
              <w:rPr>
                <w:sz w:val="18"/>
              </w:rPr>
              <w:t>34. Дизайн портала и панели управления</w:t>
            </w:r>
          </w:p>
        </w:tc>
        <w:tc>
          <w:tcPr>
            <w:tcW w:type="dxa" w:w="737"/>
          </w:tcPr>
          <w:p>
            <w:pPr>
              <w:spacing w:after="60" w:line="240" w:lineRule="auto"/>
              <w:jc w:val="right"/>
            </w:pPr>
            <w:r>
              <w:rPr>
                <w:sz w:val="18"/>
              </w:rPr>
              <w:t>55</w:t>
            </w:r>
          </w:p>
        </w:tc>
      </w:tr>
    </w:tbl>
    <w:p>
      <w:pPr>
        <w:pStyle w:val="Heading1"/>
        <w:pageBreakBefore/>
      </w:pPr>
      <w:r>
        <w:t>1. Назначение и основные решения</w:t>
      </w:r>
    </w:p>
    <w:p>
      <w:r>
        <w:t>Проект создаёт внутренний корпоративный портал, через который сотрудники работают с ИИ, собирают помощников, запускают агентные сценарии, обрабатывают документы и выполняют задания с кодом. Пользователь получает единое рабочее пространство. Администратор управляет подключениями, правами, ресурсами, лимитами и эксплуатацией.</w:t>
      </w:r>
    </w:p>
    <w:p>
      <w:r>
        <w:t>Портал поддерживает модели в корпоративной сети, модели на других доступных серверах, внешних провайдеров и прямые API-подключения. Для приложения модель является внешним сервисом с проверенным контрактом. Проект не разворачивает модельные серверы, не выбирает GPU и не обучает модели.</w:t>
      </w:r>
    </w:p>
    <w:p>
      <w:r>
        <w:rPr>
          <w:b/>
        </w:rPr>
        <w:t>Предлагаемый стек:</w:t>
      </w:r>
      <w:r>
        <w:t xml:space="preserve"> Go для корпоративного API; React и TypeScript для интерфейса; PostgreSQL для транзакционных данных; S3-совместимое хранилище для файлов; Python workers для готовых агентных runtime; Temporal для фоновых заданий. Базовое развёртывание — несколько VM с Docker Compose и Ansible. Nomad или Kubernetes рассматриваются отдельно при необходимости автоматического размещения контейнеров.</w:t>
      </w:r>
    </w:p>
    <w:p>
      <w:r>
        <w:t>Решение о конкретном harness принимается после сравнительных испытаний. LangGraph рассматривается как кандидат для управляемых сценариев, Deep Agents — для открытых сложных задач. Для обычного чата применяется прямой вызов модельного API. Экономичность измеряется стоимостью принятой задачи, а не наличием определённой библиотеки.</w:t>
      </w:r>
    </w:p>
    <w:p>
      <w:pPr>
        <w:pStyle w:val="Heading2"/>
        <w:pageBreakBefore w:val="0"/>
      </w:pPr>
      <w:r>
        <w:t>Что получает организация</w:t>
      </w:r>
    </w:p>
    <w:p>
      <w:pPr>
        <w:pStyle w:val="ListBullet"/>
      </w:pPr>
      <w:r>
        <w:t>Контролируемый доступ сотрудников к разрешённым модельным подключениям и инструментам.</w:t>
      </w:r>
    </w:p>
    <w:p>
      <w:pPr>
        <w:pStyle w:val="ListBullet"/>
      </w:pPr>
      <w:r>
        <w:t>Помощники и сценарии, которые можно создавать, версионировать и публиковать в рабочих пространствах.</w:t>
      </w:r>
    </w:p>
    <w:p>
      <w:pPr>
        <w:pStyle w:val="ListBullet"/>
      </w:pPr>
      <w:r>
        <w:t>Личные и общие бюджеты, панель аналитики и прозрачный учёт всех модельных вызовов.</w:t>
      </w:r>
    </w:p>
    <w:p>
      <w:pPr>
        <w:pStyle w:val="ListBullet"/>
      </w:pPr>
      <w:r>
        <w:t>Разделение доступа к документам, выполнения кода и исходящих интернет-соединений.</w:t>
      </w:r>
    </w:p>
    <w:p>
      <w:pPr>
        <w:pStyle w:val="ListBullet"/>
      </w:pPr>
      <w:r>
        <w:t>Воспроизводимая установка, наблюдаемость, восстановление заданий и резервное копирование.</w:t>
      </w:r>
    </w:p>
    <w:p>
      <w:pPr>
        <w:ind w:left="142"/>
        <w:shd w:fill="EDF3F8"/>
      </w:pPr>
      <w:r>
        <w:t>Документ является проектом целевой системы. Обязательные требования пользователя отделяются от предлагаемых решений; сроки, численные ограничения и ресурсы подлежат проверке на пилоте.</w:t>
      </w:r>
    </w:p>
    <w:p>
      <w:pPr>
        <w:pStyle w:val="Heading1"/>
        <w:pageBreakBefore/>
      </w:pPr>
      <w:r>
        <w:t>2. Границы проекта и этапы поставки</w:t>
      </w:r>
    </w:p>
    <w:p>
      <w:pPr>
        <w:pStyle w:val="Heading2"/>
        <w:pageBreakBefore w:val="0"/>
      </w:pPr>
      <w:r>
        <w:t>Подтверждённые требования</w:t>
      </w:r>
    </w:p>
    <w:p>
      <w:r>
        <w:t>Закрытая инфраструктура с разрешением только необходимых соединений; отдельный интернет-доступ сервиса веб-поиска; отсутствие прямого интернет-доступа у harness workers и песочниц; гибкое подключение внутренних и внешних моделей; интеграция с LDAP; локальные пользователи и группы; лимиты пользователей и групп; SMTP по разрешению; документы, код, RAG, MCP и расширения; автоматизированная установка; распределённая эксплуатация; масштаб от 100 до 3000 пользователей.</w:t>
      </w:r>
    </w:p>
    <w:p>
      <w:r>
        <w:t>Внешние модели требуют отдельного разрешённого сетевого пути. Ограничение интернет-доступа workers не отменяет разрешённую передачу данных модельному шлюзу. Политика определяет, какие данные конкретное подключение вправе получить.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313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Входит в проект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Отдельная задача или внешняя зависимость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Каталог модельных подключений, адаптеры API, секреты и проверка совместимости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Развёртывание и настройка inference-серверов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Учёт потребления, импорт цен, аналитика и лимиты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Обучение, fine-tuning и подбор конкретной модели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Интеграция готового harness и сред выполнения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Разработка собственного универсального агентного цикла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Получение embeddings через зарегистрированный API для RAG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GPU-инфраструктура и размещение embedding-моделей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Подготовка и установка приложения в закрытой сети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Корпоративная PKI, физическая сеть и гипервизоры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Управление подключениями к LDAP, SMTP, Git, MCP и S3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Эксплуатация исходных корпоративных систем</w:t>
            </w:r>
          </w:p>
        </w:tc>
      </w:tr>
    </w:tbl>
    <w:p>
      <w:pPr>
        <w:spacing w:after="40"/>
      </w:pPr>
    </w:p>
    <w:p>
      <w:pPr>
        <w:pStyle w:val="Heading2"/>
        <w:pageBreakBefore w:val="0"/>
      </w:pPr>
      <w:r>
        <w:t>Обозначения релизов</w:t>
      </w:r>
    </w:p>
    <w:p>
      <w:r>
        <w:rPr>
          <w:b/>
        </w:rPr>
        <w:t>R1 — корпоративный пилот:</w:t>
      </w:r>
      <w:r>
        <w:t xml:space="preserve"> аутентификация, модельные подключения, чат, базовый конструктор помощника, общий бюджет группы, базовая аналитика, документы, один управляемый сценарий, отдельный поисковый сервис, аудит и offline-установка.</w:t>
      </w:r>
    </w:p>
    <w:p>
      <w:r>
        <w:rPr>
          <w:b/>
        </w:rPr>
        <w:t>R2 — функциональная версия:</w:t>
      </w:r>
      <w:r>
        <w:t xml:space="preserve"> RAG с ACL, визуальные сценарии, согласования, код в песочнице, MCP, SMTP, реестр расширений, управление расписаниями и глобальными настройками.</w:t>
      </w:r>
    </w:p>
    <w:p>
      <w:r>
        <w:rPr>
          <w:b/>
        </w:rPr>
        <w:t>R3 — распределённая эксплуатация:</w:t>
      </w:r>
      <w:r>
        <w:t xml:space="preserve"> HA, масштабирование workers, проверка нагрузки, аварийное восстановление, upgrade/rollback, эксплуатационные регламенты и передача поддержки.</w:t>
      </w:r>
    </w:p>
    <w:p>
      <w:r>
        <w:t>Новый провайдер или формат документа становится поддерживаемым после контрактных тестов. Формулировка «различные модели» не означает автоматическую совместимость со всеми существующими API.</w:t>
      </w:r>
    </w:p>
    <w:p>
      <w:pPr>
        <w:pStyle w:val="Heading1"/>
        <w:pageBreakBefore/>
      </w:pPr>
      <w:r>
        <w:t>3. Пользователи и рабочий интерфейс</w:t>
      </w:r>
    </w:p>
    <w:p>
      <w:r>
        <w:t>Основной интерфейс — рабочее пространство со списком помощников, сценариев, заданий и документов. Пользователь видит выбранное модельное подключение, статус задания, использованные источники, результаты и свой доступный бюджет. Интерфейс показывает рабочие события и результаты инструментов; скрытые рассуждения модели не являются обязательным объектом отображения или хранения.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6228000" cy="3875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spac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28000" cy="3875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1. Предлагаемая структура рабочего пространства; это концептуальная схема, а не готовый интерфейс.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Роль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Основная работа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Доступные действия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Сотрудник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Чат, документы и выполнение задач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Выбор разрешённого помощника, просмотр своих заданий и расхода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Автор помощников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Настройка инструментов и инструкций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Черновик, тестовый запуск, версия, публикация в разрешённую область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Руководитель пространства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Управление командой и общим бюджетом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Локальные группы, приглашения, отчёты, лимиты в пределах делегированных прав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Администратор платформы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Подключения и глобальные политики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Каталог API, инструментов, шаблонов, правила доступа и конфигурация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Оператор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Эксплуатация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Состояние сервисов, очереди, workers, обновления и восстановление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Аудитор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Проверка событий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Чтение разрешённого аудита без автоматического доступа к содержимому документов</w:t>
            </w:r>
          </w:p>
        </w:tc>
      </w:tr>
    </w:tbl>
    <w:p>
      <w:pPr>
        <w:spacing w:after="40"/>
      </w:pPr>
    </w:p>
    <w:p>
      <w:pPr>
        <w:pStyle w:val="Heading2"/>
        <w:pageBreakBefore w:val="0"/>
      </w:pPr>
      <w:r>
        <w:t>Основные экраны</w:t>
      </w:r>
    </w:p>
    <w:p>
      <w:r>
        <w:t>Чат и рабочее пространство; библиотека помощников; редактор помощника; редактор сценария; список заданий; карточка задания с событиями и артефактами; документы и базы знаний; модельные подключения; аналитика расхода, использования и совместного доступа; согласования; глобальное администрирование; состояние инфраструктуры; журнал аудита.</w:t>
      </w:r>
    </w:p>
    <w:p>
      <w:r>
        <w:t>Предусматриваются поиск, фильтры, доступность с клавиатуры и адаптация под ноутбук. Для сложного редактирования сценариев приоритетен desktop-интерфейс. Ошибка сообщает понятную причину: отсутствуют права, исчерпан бюджет, не поддерживается возможность API, недоступен инструмент или задача остановлена.</w:t>
      </w:r>
    </w:p>
    <w:p>
      <w:pPr>
        <w:pStyle w:val="Heading1"/>
        <w:pageBreakBefore/>
      </w:pPr>
      <w:r>
        <w:t>4. Каталог функциональных требований</w:t>
      </w:r>
    </w:p>
    <w:p>
      <w:r>
        <w:t>Требования имеют стабильные идентификаторы. В плане реализации и приёмке используются те же обозначения. Релиз в таблице — план включения в поставку, а не отметка уже выполненной работы.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04"/>
        <w:gridCol w:w="2551"/>
        <w:gridCol w:w="3515"/>
        <w:gridCol w:w="2438"/>
      </w:tblGrid>
      <w:tr>
        <w:trPr>
          <w:tblHeader/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Функция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Требуемое поведение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Релиз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F01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Вход и LDAP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OIDC, LDAP-группы, локальные учётные записи, блокировка доступа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F02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Пространства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Личная и командная область, роли и ACL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F03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Подключения моделей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Внутренние, внешние и прямые API; секреты и health-check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F04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Каталог возможностей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Проверенная поддержка tools, JSON, streaming и контекста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F05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Чат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Потоковый ответ, история, файлы, восстановление просмотра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F06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Конструктор помощника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Инструкция, модель, документы, инструменты, профиль выполнения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F07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Версии и публикация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Черновик, неизменяемая версия, область видимости, архивирование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F08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Пользовательские лимиты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Расход, параллельность, длительность и размер данных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F09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Общие бюджеты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Групповой счёт, личный предел внутри него, резервирование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F10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Панель аналитики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Расход, использование моделей/tools/документов, совместный доступ и бюджеты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 → R2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F11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Задания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Очередь, статус, отмена, события, артефакты и причины ошибки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F12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Готовый runtime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Интеграция выбранной библиотеки без собственного agent loop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F13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Сценарии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Управляемые шаги, условия, ограниченные циклы и версии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 → R2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F14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Согласования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Подтверждение человеком перед разрешённым внешним действием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R2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F15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Веб-поиск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Отдельный search/fetch сервис и контролируемая передача запросов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F16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Документы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Загрузка, разбор, результаты, источники и удаление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F17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RAG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Индексация, поиск по ACL, цитаты и синхронизация удаления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R2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F18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Код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Отдельная песочница, diff, тесты, артефакты и разрешённый Git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R2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F19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MCP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Реестр серверов, права инструментов и выполнение через шлюз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R2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F20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Плагины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Версионируемые расширения в изолированных сервисах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R2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F21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SMTP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Разрешённая отправка, адресаты, вложения и журнал доставки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R2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F22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Расписания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Периодические задания, сервисная идентичность и бюджет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R2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F23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Глобальная панель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Политики, подключения, лимиты, шаблоны и версии настроек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 → R2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F24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Аудит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Автор действия, объект, результат, версия политики и корреляция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F25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Наблюдаемость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Состояние сервисов, метрики, очереди и уведомления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 → R3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F26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Offline-поставка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Комплект зависимостей, проверка установки, upgrade/rollback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 → R3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F27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Распределённое выполнение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Пулы workers, изоляция, перенос задания и масштабирование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R3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F28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Восстановление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Backup/restore, проверка отказов и эксплуатационные инструкции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R3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F29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Экономическая оценка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Все вызовы, стоимость принятой задачи, сравнение runtime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R1 → R2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F30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Инфраструктурное управление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Просмотр узлов и пулов; ограниченные операции через оркестратор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R3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5. Технологический стек и альтернативы</w:t>
      </w:r>
    </w:p>
    <w:p>
      <w:r>
        <w:t>Предлагаемый стек выбирается по доступности библиотек, понятной эксплуатации в закрытом контуре и возможности заменять компоненты через контракт. В документе не закрепляются плавающие версии: конкретные версии фиксируются после проверки совместимости и включаются в манифест поставки.</w:t>
      </w:r>
    </w:p>
    <w:p>
      <w:r>
        <w:t>В оформлении используются знакомые паттерны современных агентных рабочих пространств: боковая навигация, спокойная типографика, центральная область задачи, поток событий, артефакты и правый контекст. Фирменные логотипы и точные копии интерфейсов других продуктов не требуются. Отдельный интерактивный макет показывает проектный вариант.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Компонент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Основной кандидат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Обоснование и ограничение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Корпоративный API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Go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Транзакции, политики, администрирование и поток событий; агентный цикл не переписывается на Go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Веб-приложение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React + TypeScript + Vite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Статическая поставка без обязательного SSR; редактор сценариев — React Flow после пилота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Runtime workers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Python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Готовые агентные библиотеки, MCP и обработка документов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Хранилище состояния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PostgreSQL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Раздельные БД/роли для портала, IdP, Temporal и checkpoints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Начальный RAG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pgvector + полнотекстовый поиск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Отдельная векторная БД добавляется при подтверждённой необходимости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Файловое хранилище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Корпоративное S3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Версии, артефакты и крупные результаты вне транзакционной БД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Аутентификация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Существующий IdP / Keycloak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OIDC; LDAP и локальные пользователи обслуживаются IdP [S05]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Модельный шлюз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LiteLLM Proxy, кандидат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Проверить редакцию, покрытие API и лицензию нужных функций [S04]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Задания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Self-hosted Temporal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Долгие процессы, таймеры и восстановление; требует эксплуатации сервиса [S03]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Развёртывание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Compose + Ansible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Статические роли на нескольких VM; воспроизводимая установка и обновление [S06, S21]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Входной трафик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Nginx / корпоративный LB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TLS и маршрутизация; не выполняет функции планировщика заданий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Телеметрия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OpenTelemetry + корпоративный стек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Только разрешённые внутренние получатели; без обязательного SaaS</w:t>
            </w:r>
          </w:p>
        </w:tc>
      </w:tr>
    </w:tbl>
    <w:p>
      <w:pPr>
        <w:spacing w:after="40"/>
      </w:pPr>
    </w:p>
    <w:p>
      <w:r>
        <w:t>Если команда значительно сильнее в Python, API на FastAPI является допустимой альтернативой Go. Это уменьшает число языков и стоимость первых итераций. Число 3000 зарегистрированных пользователей само по себе не обосновывает переписывание backend.</w:t>
      </w:r>
    </w:p>
    <w:p>
      <w:r>
        <w:t>Для минимизации собственной разработки всего портала можно отдельно оценить Dify. Его готовый конструктор способен сократить часть работ, но корпоративные права, изолированные пространства и лицензионные условия нуждаются в проверке. Текущий проект ориентируется на собственный портал с готовыми runtime, а не на глубокий fork чужого продукта [S15].</w:t>
      </w:r>
    </w:p>
    <w:p>
      <w:r>
        <w:t>Kubernetes не является обязательной зависимостью. В базовом варианте Compose управляет контейнерами каждого сервера, Ansible поддерживает согласованную конфигурацию серверов, а Temporal распределяет задания между доступными workers. Автоматического переноса контейнера с потерянной VM этот вариант не обещает: доступность обеспечивается заранее запущенными репликами и запасом ёмкости.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020" w:bottom="1020" w:left="1077" w:header="454" w:footer="454" w:gutter="0"/>
          <w:cols w:space="720"/>
          <w:titlePg/>
          <w:docGrid w:linePitch="360"/>
        </w:sectPr>
      </w:pPr>
    </w:p>
    <w:p>
      <w:pPr>
        <w:pStyle w:val="Heading1"/>
        <w:pageBreakBefore w:val="0"/>
      </w:pPr>
      <w:r>
        <w:t>6. Логическая архитектура и компоненты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9360000" cy="471663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hitectur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60000" cy="47166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2. Состав портала и связи компонентов. API моделей находится за границей инфраструктуры приложения.</w:t>
      </w:r>
    </w:p>
    <w:p>
      <w:pPr>
        <w:sectPr>
          <w:pgSz w:w="16838" w:h="11906" w:orient="landscape"/>
          <w:pgMar w:top="1020" w:right="1020" w:bottom="1020" w:left="1077" w:header="454" w:footer="454" w:gutter="0"/>
          <w:cols w:space="720"/>
          <w:docGrid w:linePitch="360"/>
        </w:sectPr>
      </w:pPr>
    </w:p>
    <w:p>
      <w:r>
        <w:t>Корпоративный API отвечает за пользователей, пространства, помощников, бюджеты и аудит. На старте это модульное Go-приложение, а не набор мелких микросервисов. Компоненты выделяются в отдельные процессы, когда требуется независимое масштабирование, сетевое ограничение или иной жизненный цикл.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Область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Ответственность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Что не должна делать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Control plane портала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Политики, конфигурация, каталоги, права и диспетчеризация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Исполнять пользовательский shell в процессе API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Оркестратор заданий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Состояния, таймеры, ожидание событий и доставка работы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Самостоятельно определять доступ пользователя к документам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Runtime workers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Вызовы выбранного harness и обработка шагов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Обходить модельный или инструментальный шлюз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Модельный шлюз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API-адаптеры, маршрутизация, usage и admission по бюджету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Незаметно менять внешнее/внутреннее направление данных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Шлюз инструментов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ACL, параметры, согласования, корреляция и секреты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Разрешать произвольный URL или выполнение от имени создателя помощника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Песочницы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Изолированное выполнение кода и файловые операции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Иметь доступ к ключам платформы или всему кластеру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Search/fetch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Поиск и извлечение внешнего содержимого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Служить универсальным HTTP-proxy для workers</w:t>
            </w:r>
          </w:p>
        </w:tc>
      </w:tr>
    </w:tbl>
    <w:p>
      <w:pPr>
        <w:spacing w:after="40"/>
      </w:pPr>
    </w:p>
    <w:p>
      <w:r>
        <w:t>Большие результаты передаются ссылками на контролируемые артефакты. События интерфейса используют SSE; выполнение задания не зависит от длительности браузерного соединения. Сервисные соединения аутентифицируются и проходят проверку TLS.</w:t>
      </w:r>
    </w:p>
    <w:p>
      <w:pPr>
        <w:pStyle w:val="Heading1"/>
        <w:pageBreakBefore/>
      </w:pPr>
      <w:r>
        <w:t>7. Данные и основные контракты</w:t>
      </w:r>
    </w:p>
    <w:p>
      <w:r>
        <w:t>Модель данных должна отражать независимость пользователя, группы доступа, пространства и бюджетного счёта. Членство в нескольких группах не создаёт автоматически несколько источников финансирования одного задания.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Сущность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Основные поля и связи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Правило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User / Group / Membership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IdP subject, тип группы, источник, версия членства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 использовать изменяемое имя LDAP как единственный идентификатор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Workspace / RoleBinding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Пространство, участник, роль, область действия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 каждого объекта есть владелец и ACL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ModelConnection / ModelProfile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Endpoint, API-тип, secret_ref, capabilities, политика данных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Профиль модели отделён от фактического endpoint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Assistant / AssistantVersion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Инструкция, инструменты, знания, runtime, лимиты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Запущенное задание закрепляет неизменяемую версию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Scenario / ScenarioVersion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Схема шагов, входные/выходные поля, ограничения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Изменение черновика не меняет активное задание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Run / Step / Event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Инициатор, профиль, бюджет, состояние, sequence, trace_id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Состояния сохраняются независимо от UI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BudgetAccount / Reservation / LedgerEntry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Период, валюта/единицы, резерв, расход, ключ операции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Проводки идемпотентны и проверяемы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PriceVersion / Estimate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Прайс, дата действия, источник, входные допущения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Прогноз воспроизводим после изменения тарифа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Document / Chunk / Artifact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Источник, версия, ACL, классификация, ссылка S3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Доступ проверяется при каждом чтении и передаче модели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Tool / MCPConnection / PluginVersion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Schema, endpoint, permissions, версия, риск действия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Пользователь выбирает только опубликованные возможности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Approval / DeliveryAttempt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Решение, согласующий, адресаты, результат отправки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Решение привязано к параметрам конкретного действия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AuditEvent / ConfigRevision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Автор, объект, версия политики, before/after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Секреты и лишнее содержимое не попадают в журнал</w:t>
            </w:r>
          </w:p>
        </w:tc>
      </w:tr>
    </w:tbl>
    <w:p>
      <w:pPr>
        <w:spacing w:after="40"/>
      </w:pPr>
    </w:p>
    <w:p>
      <w:r>
        <w:t>Ключевые API: каталог подключений; версии помощников; создание и отмена run; поток событий; расчёт estimate; просмотр budget account; регистрация инструментов; публикация config revision. Для изменяющих запросов поддерживается ключ идемпотентности. Пагинация использует стабильный cursor.</w:t>
      </w:r>
    </w:p>
    <w:p>
      <w:r>
        <w:t>Начальный контракт runtime состоит из операций start, resume, cancel, get_state и stream_events. Он нормализует события и артефакты, но не пытается сделать checkpoints разных библиотек взаимозаменяемыми. Перенос работающего задания на другой harness в первой версии не поддерживается.</w:t>
      </w:r>
    </w:p>
    <w:p>
      <w:pPr>
        <w:pStyle w:val="Heading1"/>
        <w:pageBreakBefore/>
      </w:pPr>
      <w:r>
        <w:t>8. Подключение внутренних и внешних моделей</w:t>
      </w:r>
    </w:p>
    <w:p>
      <w:r>
        <w:t>Модели подключаются как готовые API. Поддерживаются OpenAI-compatible Chat Completions, Responses при подтверждённой совместимости, Anthropic Messages через соответствующий адаптер и провайдерские API через проверенные интеграции. Название «OpenAI-compatible» не является сертификатом поддержки всех функций.</w:t>
      </w:r>
    </w:p>
    <w:p>
      <w:pPr>
        <w:pStyle w:val="Heading2"/>
        <w:pageBreakBefore w:val="0"/>
      </w:pPr>
      <w:r>
        <w:t>Жизненный цикл подключения</w:t>
      </w:r>
    </w:p>
    <w:p>
      <w:pPr>
        <w:pStyle w:val="ListNumber"/>
      </w:pPr>
      <w:r>
        <w:t>Администратор задаёт endpoint, API-тип, доверенный CA, proxy-маршрут и ссылку на секрет.</w:t>
      </w:r>
    </w:p>
    <w:p>
      <w:pPr>
        <w:pStyle w:val="ListNumber"/>
      </w:pPr>
      <w:r>
        <w:t>Выполняются безопасные проверки связи, аутентификации и ограничений сетевого назначения.</w:t>
      </w:r>
    </w:p>
    <w:p>
      <w:pPr>
        <w:pStyle w:val="ListNumber"/>
      </w:pPr>
      <w:r>
        <w:t>Контрактные тесты проверяют streaming, usage, отмену, tools и structured output, если они нужны.</w:t>
      </w:r>
    </w:p>
    <w:p>
      <w:pPr>
        <w:pStyle w:val="ListNumber"/>
      </w:pPr>
      <w:r>
        <w:t>Администратор утверждает доступные профили, группы, классы данных и прайс.</w:t>
      </w:r>
    </w:p>
    <w:p>
      <w:pPr>
        <w:pStyle w:val="ListNumber"/>
      </w:pPr>
      <w:r>
        <w:t>Подключение публикуется; состояние и ошибки видны оператору. При отключении новые вызовы прекращаются.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313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Настройка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Требуемое поведение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Размещение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Внутренняя сеть, корпоративный proxy-провайдер либо прямой внешний API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Секрет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Только secret_ref; UI отображает маску и дату изменения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Возможности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Проверенный набор tools, streaming, JSON, multimodal и usage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Параметры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Ограниченный whitelist настроек, совместимых с API и политикой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Контекст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Предел входа и выхода; резерв перед отправкой; понятная ошибка переполнения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Fallback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Только явно разрешённые профили с теми же ограничениями данных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Стоимость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Версионируемый тариф или внутренние единицы; отдельно cache и иные категории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Наблюдаемость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Латентность, ошибки, очередь, usage completeness и состояние соединения</w:t>
            </w:r>
          </w:p>
        </w:tc>
      </w:tr>
    </w:tbl>
    <w:p>
      <w:pPr>
        <w:spacing w:after="40"/>
      </w:pPr>
    </w:p>
    <w:p>
      <w:r>
        <w:t>Пользователь выбирает опубликованный профиль, а не произвольный URL. Пользовательские подключения допустимы только как отдельная управляемая функция с проверкой endpoint и полномочий; в R1 они отключены.</w:t>
      </w:r>
    </w:p>
    <w:p>
      <w:r>
        <w:t>Fallback не пересылает закрытые данные внешнему провайдеру при отказе внутреннего API без соответствующей политики. Ротация ключа не раскрывает его worker или песочнице. Набор поддерживаемых провайдеров версионируется вместе с приложением.</w:t>
      </w:r>
    </w:p>
    <w:p>
      <w:r>
        <w:t>Вызов embeddings для RAG также является зарегистрированным подключением. Выбор и эксплуатация серверов embeddings остаются внешней зависимостью проекта.</w:t>
      </w:r>
    </w:p>
    <w:p>
      <w:pPr>
        <w:pStyle w:val="Heading1"/>
        <w:pageBreakBefore/>
      </w:pPr>
      <w:r>
        <w:t>9. Идентификация, LDAP и локальные группы</w:t>
      </w:r>
    </w:p>
    <w:p>
      <w:r>
        <w:t>Приложение аутентифицирует пользователя через OIDC. Корпоративный IdP предпочтителен, если он уже существует и передаёт необходимые группы. Иначе поставляется Keycloak с read-only LDAP-федерацией, локальными пользователями и отдельными аварийными административными учётными записями [S05].</w:t>
      </w:r>
    </w:p>
    <w:p>
      <w:pPr>
        <w:pStyle w:val="Heading2"/>
        <w:pageBreakBefore w:val="0"/>
      </w:pPr>
      <w:r>
        <w:t>Требуемое поведение</w:t>
      </w:r>
    </w:p>
    <w:p>
      <w:pPr>
        <w:pStyle w:val="ListBullet"/>
      </w:pPr>
      <w:r>
        <w:t>Настройка нескольких разрешённых LDAP endpoints и доверенного CA; секрет bind-account хранится отдельно.</w:t>
      </w:r>
    </w:p>
    <w:p>
      <w:pPr>
        <w:pStyle w:val="ListBullet"/>
      </w:pPr>
      <w:r>
        <w:t>Сопоставление групп по стабильным идентификаторам; отображаемые названия можно менять без потери политик.</w:t>
      </w:r>
    </w:p>
    <w:p>
      <w:pPr>
        <w:pStyle w:val="ListBullet"/>
      </w:pPr>
      <w:r>
        <w:t>Локальные группы создаются в портале и могут включать LDAP-пользователей. Они не записываются обратно в LDAP.</w:t>
      </w:r>
    </w:p>
    <w:p>
      <w:pPr>
        <w:pStyle w:val="ListBullet"/>
      </w:pPr>
      <w:r>
        <w:t>Явные роли администратора, оператора, автора, пользователя и аудитора; MFA через возможности IdP для привилегированных операций.</w:t>
      </w:r>
    </w:p>
    <w:p>
      <w:pPr>
        <w:pStyle w:val="ListBullet"/>
      </w:pPr>
      <w:r>
        <w:t>Контроль отключения пользователя и отзыва группы; повторная проверка доступа перед новым инструментом и продолжением задания.</w:t>
      </w:r>
    </w:p>
    <w:p>
      <w:pPr>
        <w:pStyle w:val="ListBullet"/>
      </w:pPr>
      <w:r>
        <w:t>Раздельное управление сервисными идентичностями и обычными пользователями.</w:t>
      </w:r>
    </w:p>
    <w:p>
      <w:r>
        <w:t>Членство из JWT может устареть. Для критичных действий используется актуальная версия политики и проверка блокировки. Предлагаемый предел распространения обычного изменения группы — не более пяти минут после синхронизации; немедленная административная блокировка хранится в портале и действует на границах новых операций. LDAP-синхронизация и время жизни токенов должны подтверждать этот предел на испытании.</w:t>
      </w:r>
    </w:p>
    <w:p>
      <w:r>
        <w:t>Если LDAP недоступен, нельзя создавать новые привилегированные разрешения на основании отсутствующих данных. Поведение существующих сессий задаётся политикой: ограниченное чтение по непросроченному кэшу либо полный запрет. Аварийный локальный доступ документируется и журналируется.</w:t>
      </w:r>
    </w:p>
    <w:p>
      <w:r>
        <w:t>Регистрация пользователей по внешнему email отключена по умолчанию. Совпадение email не является достаточным основанием для слияния LDAP и локальной учётной записи.</w:t>
      </w:r>
    </w:p>
    <w:p>
      <w:pPr>
        <w:pStyle w:val="Heading1"/>
        <w:pageBreakBefore/>
      </w:pPr>
      <w:r>
        <w:t>10. Пространства, роли и политика доступа</w:t>
      </w:r>
    </w:p>
    <w:p>
      <w:r>
        <w:t>Права задаются сочетанием роли, области действия и ограничений объекта. Проверка выполняется сервером, включая запросы к файлам, SSE, истории, экспортам и API инструментов. Скрытие кнопки в UI не заменяет авторизацию.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04"/>
        <w:gridCol w:w="2551"/>
        <w:gridCol w:w="3515"/>
        <w:gridCol w:w="2438"/>
      </w:tblGrid>
      <w:tr>
        <w:trPr>
          <w:tblHeader/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Действие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Пользователь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Автор / владелец пространства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Администратор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Использовать помощника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 ACL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 ACL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 ACL; админство не даёт автоматического чтения данных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Создать черновик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 разрешению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Да, в своей области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Да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Опубликовать командную версию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Нет либо по делегированию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 своей области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Глобальные шаблоны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Добавить endpoint модели/MCP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Нет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Запрос администратору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После проверки назначения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Изменить общий бюджет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Нет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 пределах делегированного счёта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 пределах административных полномочий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Прочитать чужой документ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Нет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Только по ACL документа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Только по отдельному разрешению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Смотреть аудит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Свои события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События пространства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 роли аудитора/администратора</w:t>
            </w:r>
          </w:p>
        </w:tc>
      </w:tr>
    </w:tbl>
    <w:p>
      <w:pPr>
        <w:spacing w:after="40"/>
      </w:pPr>
    </w:p>
    <w:p>
      <w:r>
        <w:t>Эффективные права задания — пересечение прав инициатора, опубликованной версии помощника, пространства и глобальной политики. Для расписания инициатором является явно зарегистрированная сервисная идентичность. Её права не наследуются молча от автора сценария.</w:t>
      </w:r>
    </w:p>
    <w:p>
      <w:r>
        <w:t>Каждый документ имеет класс данных: например, публичный, внутренний или ограниченный. Конкретная классификация согласуется с организацией. Связь «класс данных → разрешённые подключения и инструменты» хранится в политике. Дочерние задания и сводки сохраняют ограничения исходных данных.</w:t>
      </w:r>
    </w:p>
    <w:p>
      <w:r>
        <w:t>Явный запрет имеет приоритет над разрешением. Исключения требуют области, срока действия и ответственного владельца. Изменение групп не должно открывать доступ к ранее закэшированным чужим результатам. Cache key включает пространство и область доступа; данные разных пользователей не объединяются в общий кэш без проверки эквивалентности ACL.</w:t>
      </w:r>
    </w:p>
    <w:p>
      <w:pPr>
        <w:pStyle w:val="Heading1"/>
        <w:pageBreakBefore/>
      </w:pPr>
      <w:r>
        <w:t>11. Лимиты, бюджетные счета и учёт</w:t>
      </w:r>
    </w:p>
    <w:p>
      <w:r>
        <w:t>Группа доступа и бюджетный счёт — разные сущности. Несколько LDAP-групп могут использовать один проектный счёт. Один пользователь может работать с несколькими счетами, но при запуске выбирается ровно один разрешённый источник оплаты; индивидуальные ограничения при этом сохраняются.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Измерение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Пример ограничения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Место контроля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Денежный / условный бюджет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Месяц, день, проект, одно задание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Транзакционный ledger и модельный шлюз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Токены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Input/output, общий предел задания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Каждый модельный вызов и все дочерние задания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Параллельность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Генерации, агентные runs, песочницы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Admission и пул workers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Длительность / шаги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Таймаут, число итераций, глубина подагентов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Оркестратор и runtime-профиль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Данные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Размер файла, число документов, объём индекса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Загрузка и pipeline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Инструменты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Число web-запросов, писем, дорогих операций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Шлюз инструментов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CPU / RAM / диск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Профиль песочницы и срок жизни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Исполнитель песочницы и host limits</w:t>
            </w:r>
          </w:p>
        </w:tc>
      </w:tr>
    </w:tbl>
    <w:p>
      <w:pPr>
        <w:spacing w:after="40"/>
      </w:pPr>
    </w:p>
    <w:p>
      <w:pPr>
        <w:pStyle w:val="Heading2"/>
        <w:pageBreakBefore w:val="0"/>
      </w:pPr>
      <w:r>
        <w:t>Порядок списания</w:t>
      </w:r>
    </w:p>
    <w:p>
      <w:pPr>
        <w:pStyle w:val="ListNumber"/>
      </w:pPr>
      <w:r>
        <w:t>Проверить права, период бюджета и источник оплаты. Отдельно проверить личный предел и общий счёт.</w:t>
      </w:r>
    </w:p>
    <w:p>
      <w:pPr>
        <w:pStyle w:val="ListNumber"/>
      </w:pPr>
      <w:r>
        <w:t>До модельного вызова атомарно зарезервировать верхнюю оценку расхода по входу и разрешённому максимуму выхода.</w:t>
      </w:r>
    </w:p>
    <w:p>
      <w:pPr>
        <w:pStyle w:val="ListNumber"/>
      </w:pPr>
      <w:r>
        <w:t>Записать reservation ID, версию прайса, run ID и уникальный ключ вызова. Параллельные запросы видят уже занятый резерв.</w:t>
      </w:r>
    </w:p>
    <w:p>
      <w:pPr>
        <w:pStyle w:val="ListNumber"/>
      </w:pPr>
      <w:r>
        <w:t>После ответа получить нормализованный usage, сверить фактический расход, освободить остаток и записать проводку.</w:t>
      </w:r>
    </w:p>
    <w:p>
      <w:pPr>
        <w:pStyle w:val="ListNumber"/>
      </w:pPr>
      <w:r>
        <w:t>Если ответ потерян или usage отсутствует, пометить расход как неподтверждённый. До сверки удерживать консервативный резерв по заданному регламенту.</w:t>
      </w:r>
    </w:p>
    <w:p>
      <w:r>
        <w:t>Повторные попытки, суммаризация, валидационные исправления и подагенты учитываются в том же бюджетном дереве. Удаление истории или создание нового ключа не обнуляет расход. Отмена задания не означает бесплатный уже выполненный модельный запрос.</w:t>
      </w:r>
    </w:p>
    <w:p>
      <w:r>
        <w:t>Ноль означает запрет расхода; отсутствие ограничения обозначается явно, а не числом 0. Период сброса, часовой пояс, перенос остатков и правила увеличения бюджета версионируются. Рекомендуемые уведомления — при 70%, 90% и исчерпании бюджета; пороги настраиваются.</w:t>
      </w:r>
    </w:p>
    <w:p>
      <w:r>
        <w:t>При недоступности ledger новые платные операции отклоняются. Для точного hard limit обязательно проверяется способность подключённого API ограничивать выход и предоставлять usage. Без этой способности показывается ограничение точности учёта; платформа не обещает недоказуемую точность до токена.</w:t>
      </w:r>
    </w:p>
    <w:p>
      <w:pPr>
        <w:pStyle w:val="Heading1"/>
        <w:pageBreakBefore/>
      </w:pPr>
      <w:r>
        <w:t>12. Аналитика расхода, использования и совместного доступа</w:t>
      </w:r>
    </w:p>
    <w:p>
      <w:r>
        <w:t>Под «калькулятором» в требованиях понимается прежде всего аналитическая панель: фактические расходы, использование моделей, tools и документов, публикация помощников и совместный доступ. Прогноз бюджета — дополнительный режим, а не основное назначение. Аналитика работает по событиям платформы и ledger; не требует модельных вызовов для расчётов.</w:t>
      </w:r>
    </w:p>
    <w:p>
      <w:pPr>
        <w:pStyle w:val="Heading2"/>
        <w:pageBreakBefore w:val="0"/>
      </w:pPr>
      <w:r>
        <w:t>Разделы панели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Раздел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Показатели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Разрезы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Расход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Подтверждённый расход, резерв, неизвестный usage, бюджет и остаток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Период, пользователь, группа, пространство, счёт, подключение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Использование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Активные пользователи, runs, calls, токены, ошибки и время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Помощник, сценарий, runtime-профиль, модельное подключение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Инструменты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Вызовы, уникальные пользователи, ошибки, длительность, повторное использование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Tool, MCP/server, команда и тип операции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Документы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Загрузка, индексация, retrieval, чтение, экспорт и downloads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База знаний, источник, владелец, пространство и класс данных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Совместный доступ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Публикации, share grants/revokes, доступные аудитории и фактическое использование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Помощник, tool, документ, группа, роль и срок разрешения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Результативность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Принятые задачи, стоимость принятого результата, оценки и незавершённые задания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Класс задачи и версия помощника</w:t>
            </w:r>
          </w:p>
        </w:tc>
      </w:tr>
    </w:tbl>
    <w:p>
      <w:pPr>
        <w:spacing w:after="40"/>
      </w:pPr>
    </w:p>
    <w:p>
      <w:r>
        <w:t>Совместный доступ и использование не смешиваются: объект может быть доступен 100 сотрудникам, но использован только пятью. «Популярный инструмент» означает фактические вызовы/пользователей за выбранный период, а не число выданных разрешений.</w:t>
      </w:r>
    </w:p>
    <w:p>
      <w:pPr>
        <w:pStyle w:val="Heading2"/>
        <w:pageBreakBefore w:val="0"/>
      </w:pPr>
      <w:r>
        <w:t>Расчёты</w:t>
      </w:r>
    </w:p>
    <w:p>
      <w:r>
        <w:t>Стоимость вызова = сумма непересекающихся категорий billable tokens × тариф категории / 1 000 000. Адаптер различает uncached input, cache-read, cache-write и иные категории конкретного API. Если provider usage содержит общий input и вложенный cached count, их нельзя посчитать дважды. Прайс имеет валюту, источник, дату и версию.</w:t>
      </w:r>
    </w:p>
    <w:p>
      <w:r>
        <w:t>Стоимость задания включает все calls, retries, подзадачи и платные инструменты. Стоимость принятой задачи = расход всех испытаний / количество принятых результатов; при нуле принятых результатов показатель не вычисляется. Число токенов само по себе не считается качеством работы.</w:t>
      </w:r>
    </w:p>
    <w:p>
      <w:r>
        <w:t>Прогноз месяца строится по наблюдаемому расходу и выбранным допущениям: активные пользователи × задания в день × рабочие дни × средняя стоимость задания. Показывается диапазон, а не обещание точной будущей суммы. Инфраструктурный TCO портала учитывается отдельно. Разные валюты объединяются только при явно заданном курсе и дате.</w:t>
      </w:r>
    </w:p>
    <w:p>
      <w:pPr>
        <w:pStyle w:val="Heading2"/>
        <w:pageBreakBefore w:val="0"/>
      </w:pPr>
      <w:r>
        <w:t>События и доступ</w:t>
      </w:r>
    </w:p>
    <w:p>
      <w:r>
        <w:t>События: run.started/completed, model.call/usage, tool.called, document.uploaded/read/retrieved/exported, share.granted/revoked, assistant.published и approval.resolved. Они имеют уникальный ID, timestamp, workspace, principal, объект и correlation ID. Повтор доставки не увеличивает агрегаты. Последнее успешное обновление и полнота данных видны пользователю.</w:t>
      </w:r>
    </w:p>
    <w:p>
      <w:r>
        <w:t>Аналитика содержит фильтры времени, группы и пространства, сравнение периодов, drill-down до разрешённого run, CSV/XLSX export и предупреждения о бюджете. Пользователь видит свои данные; руководитель — разрешённую командную область; аудитор — события по роли. Названия недоступных документов и содержание запросов не раскрываются через агрегаты или экспорт. Персональный мониторинг и сроки хранения согласуются с организацией.</w:t>
      </w:r>
    </w:p>
    <w:p>
      <w:r>
        <w:t>Источником финансового факта является ledger. Событийная аналитика использует инкрементальные агрегаты и проверяемый backfill; произвольные запросы dashboard не блокируют транзакции учёта. Предлагаемый лаг обновления — до пяти минут; остаток бюджета для нового вызова проверяется синхронно.</w:t>
      </w:r>
    </w:p>
    <w:p>
      <w:pPr>
        <w:pStyle w:val="Heading1"/>
        <w:pageBreakBefore/>
      </w:pPr>
      <w:r>
        <w:t>13. Выбор агентного runtime и опыт Anthropic</w:t>
      </w:r>
    </w:p>
    <w:p>
      <w:r>
        <w:rPr>
          <w:b/>
        </w:rPr>
        <w:t>Ни один рассмотренный harness не объявляется самым экономичным до испытаний на задачах организации.</w:t>
      </w:r>
      <w:r>
        <w:t xml:space="preserve"> Рассмотрение Deep Agents отражает функциональное соответствие, а не доказанный выигрыш по токенам. Предлагается разделение: прямые вызовы для чата; управляемые workflows для предсказуемых операций; готовый harness для задач с открытым планом.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6228000" cy="221644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untime_selecti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28000" cy="22164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3. Режим выполнения выбирается по задаче; бюджеты и права общие для всех режимов.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Кандидат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Что проверяем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Предлагаемая роль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Прямой модельный API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Качество ответа при одном/нескольких заранее определённых вызовах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Базовая линия для чата и простых преобразований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LangGraph / готовый LangChain agent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Контроль графа, инструментов, событий и checkpoints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Управляемые сценарии; без необязательных сложных возможностей [S01–S02]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Pydantic AI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Типизированные tools/output, интеграции провайдеров, восстановление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Альтернативный кандидат для тех же коротких сценариев [S16]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Deep Agents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Контекст, файловые tools, подагенты и открытые задачи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Сложные задания, если результат оправдывает расход [S01]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OpenHands SDK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Изменения кода, тесты и состояние удалённой среды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Специализированный coding-кандидат [S10]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Claude Agent SDK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Готовый harness Claude Code, tools и permissions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Кандидат отдельного Claude-профиля; не предполагать поддержку произвольных моделей [S18]</w:t>
            </w:r>
          </w:p>
        </w:tc>
      </w:tr>
    </w:tbl>
    <w:p>
      <w:pPr>
        <w:spacing w:after="40"/>
      </w:pPr>
    </w:p>
    <w:p>
      <w:pPr>
        <w:pStyle w:val="Heading2"/>
        <w:pageBreakBefore w:val="0"/>
      </w:pPr>
      <w:r>
        <w:t>На чём остановилась Anthropic</w:t>
      </w:r>
    </w:p>
    <w:p>
      <w:r>
        <w:t>Публично Anthropic описывает reuse собственного harness Claude Code в Claude Agent SDK: работа с файловой системой и инструментами, сбор контекста, действие и проверка результата. Публикация не содержит протокола, который доказывал бы выбор этого harness по лучшей стоимости относительно LangGraph или других движков [S18].</w:t>
      </w:r>
    </w:p>
    <w:p>
      <w:r>
        <w:t>В Managed Agents Anthropic отдельно описывает сохраняемый журнал сессии, harness и sandbox, а также proxy к инструментам с секретами вне harness. Для нашего проекта это архитектурный ориентир: контекст, выполнение и секреты разделяются. Облачный продукт не считается автоматически подходящим для независимого размещения в закрытом контуре [S19].</w:t>
      </w:r>
    </w:p>
    <w:p>
      <w:r>
        <w:t>В своём исследовательском продукте компания описала orchestrator-worker подход. По их наблюдениям агенты потребляли около 4× токенов чата, несколько агентов — около 15×. Это показатели конкретной системы, а не универсальные множители для финансовой аналитики [S20].</w:t>
      </w:r>
    </w:p>
    <w:p>
      <w:pPr>
        <w:pStyle w:val="Heading2"/>
        <w:pageBreakBefore w:val="0"/>
      </w:pPr>
      <w:r>
        <w:t>Предлагаемое решение</w:t>
      </w:r>
    </w:p>
    <w:p>
      <w:r>
        <w:t>На этапе 0 сравнить прямой API, один управляемый agent/workflow и один сложный harness. Pydantic AI — допустимый альтернативный baseline; если он выигрывает по качеству, стоимости и сопровождению, выбрать его, не поддерживая два взаимозаменяемых runtime без необходимости. В R1 не устанавливать весь список кандидатов. Отдельный coding-runtime добавлять только при подтверждённой потребности.</w:t>
      </w:r>
    </w:p>
    <w:p>
      <w:pPr>
        <w:pStyle w:val="Heading1"/>
        <w:pageBreakBefore/>
      </w:pPr>
      <w:r>
        <w:t>14. Экономика токенов и сравнительные испытания</w:t>
      </w:r>
    </w:p>
    <w:p>
      <w:r>
        <w:t>Токены — измеряемая часть расхода, но их количество не отражает пользу без проверки результата. Оптимизация должна сохранять качество, соблюдать права и учитывать все попытки, включая неудачные. API-цены и модельные SLA не фиксируются в этом проекте; они поступают из каталога подключений.</w:t>
      </w:r>
    </w:p>
    <w:p>
      <w:pPr>
        <w:pStyle w:val="Heading2"/>
        <w:pageBreakBefore w:val="0"/>
      </w:pPr>
      <w:r>
        <w:t>Методика выбора</w:t>
      </w:r>
    </w:p>
    <w:p>
      <w:r>
        <w:t>Сформировать 40–60 репрезентативных задач: чат и преобразования; поиск по документам; исследование; действия через инструменты; изменения кода. При ограниченном пилоте допустим набор 20–30 задач, но выводы будут предварительными. Для каждого класса определить эталон или рубрику приёмки. Сравнивать runtime на одном и том же модельном подключении, инструментах, данных и верхнем бюджете.</w:t>
      </w:r>
    </w:p>
    <w:p>
      <w:r>
        <w:t>Выполнить не менее трёх повторов для недетерминированных задач в сбалансированном порядке. Зафиксировать версии prompt, инструмента, модели и runtime. Отдельно провести испытание на втором типе API для переносимости; результаты разных моделей не смешивать с эффектом harness.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Метрика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Способ измерения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Для чего используется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Task success rate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Результат по заранее утверждённым критериям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Основной показатель качества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Стоимость принятой задачи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Все затраты / число принятых результатов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Экономика с учётом неудач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Input/output/cache и вызовы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Usage каждого call; отсутствие usage отмечается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Анализ причин расхода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Время выполнения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p50/p95 полного задания и время ожидания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Пользовательская полезность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Tool correctness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Валидные аргументы, допустимые операции и выполненные проверки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Надёжность интеграций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Повторные попытки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Причина и дополнительная стоимость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Поиск неэффективных циклов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Безопасность и восстановление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Отрицательные ACL-тесты и сбой worker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Обязательный критерий допуска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Стоимость сопровождения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Зависимости, offline-сборка и трудоёмкость интеграции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Выбор за пределами токенов</w:t>
            </w:r>
          </w:p>
        </w:tc>
      </w:tr>
    </w:tbl>
    <w:p>
      <w:pPr>
        <w:spacing w:after="40"/>
      </w:pPr>
    </w:p>
    <w:p>
      <w:r>
        <w:t>Для кода качество подтверждают тесты и review diff; для документов — верность источников и полнота ответа; для бизнес-действий — проверяемое состояние системы. LLM-as-judge применяется только как вспомогательная проверка с контролем человеком и программными тестами.</w:t>
      </w:r>
    </w:p>
    <w:p>
      <w:pPr>
        <w:pStyle w:val="Heading2"/>
        <w:pageBreakBefore w:val="0"/>
      </w:pPr>
      <w:r>
        <w:t>Правила экономичного выполнения</w:t>
      </w:r>
    </w:p>
    <w:p>
      <w:pPr>
        <w:pStyle w:val="ListBullet"/>
      </w:pPr>
      <w:r>
        <w:t>Минимально достаточные tools и schemas для конкретного помощника; discovery вместо включения всего реестра в каждый prompt.</w:t>
      </w:r>
    </w:p>
    <w:p>
      <w:pPr>
        <w:pStyle w:val="ListBullet"/>
      </w:pPr>
      <w:r>
        <w:t>Ограниченный объём результатов инструмента и RAG; полный материал остаётся доступным по контролируемой ссылке.</w:t>
      </w:r>
    </w:p>
    <w:p>
      <w:pPr>
        <w:pStyle w:val="ListBullet"/>
      </w:pPr>
      <w:r>
        <w:t>Подагенты и суммаризация только в профилях, где они нужны; их вызовы тоже оплачиваются.</w:t>
      </w:r>
    </w:p>
    <w:p>
      <w:pPr>
        <w:pStyle w:val="ListBullet"/>
      </w:pPr>
      <w:r>
        <w:t>Проверки формата и правил выполняются кодом, когда модель не требуется.</w:t>
      </w:r>
    </w:p>
    <w:p>
      <w:pPr>
        <w:pStyle w:val="ListBullet"/>
      </w:pPr>
      <w:r>
        <w:t>Один владелец retry policy: не умножать повторы на уровнях gateway, SDK и Temporal.</w:t>
      </w:r>
    </w:p>
    <w:p>
      <w:pPr>
        <w:pStyle w:val="ListBullet"/>
      </w:pPr>
      <w:r>
        <w:t>Маршрутизация и cache учитывают права, классификацию данных и реальную совместимость API.</w:t>
      </w:r>
    </w:p>
    <w:p>
      <w:r>
        <w:t>Выбор фиксируется в ADR с результатами испытаний. При смене версии runtime выполняется тот же regression-набор. Заявление о проценте экономии допускается только после измерения; в проекте такие проценты не обещаются.</w:t>
      </w:r>
    </w:p>
    <w:p>
      <w:pPr>
        <w:pStyle w:val="Heading1"/>
        <w:pageBreakBefore/>
      </w:pPr>
      <w:r>
        <w:t>15. Помощники и конструктор сценариев</w:t>
      </w:r>
    </w:p>
    <w:p>
      <w:r>
        <w:t>Помощник — версия инструкции и набора разрешённых возможностей. Автор задаёт назначение, модельный профиль, режим выполнения, knowledge sources, инструменты, ограничения и формат результата. Создание помощника не требует писать код.</w:t>
      </w:r>
    </w:p>
    <w:p>
      <w:r>
        <w:t>Сценарий описывает управляемую последовательность шагов. В R1 поставляются шаблоны с формами настройки. В R2 появляется визуальный редактор с проверкой схемы до публикации. Обязательные шаги: входные данные, получение документа, разрешённый поиск, вызов модели, инструмент, условие, ограниченная параллельная ветка, согласование и формирование артефакта.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313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Правило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Реализация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Проверка схемы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Несуществующий tool/model, неподдерживаемое поле или цикл без предела блокирует публикацию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Вход и выход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Типизированные поля; JSON Schema для программных шагов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Циклы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Верхний предел итераций, времени, вызовов и расхода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Параллельность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Ограничение веток и общий родительский бюджет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Согласование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Решение привязано к версии действия и конкретным параметрам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Изменение версии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Новые runs используют новую версию; старые продолжают закреплённую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Экспорт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Декларативная схема без секретов; импорт проверяет зависимости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Пользовательский код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Только отдельный sandbox-шаг; не выполнение в API-процессе</w:t>
            </w:r>
          </w:p>
        </w:tc>
      </w:tr>
    </w:tbl>
    <w:p>
      <w:pPr>
        <w:spacing w:after="40"/>
      </w:pPr>
    </w:p>
    <w:p>
      <w:r>
        <w:t>Начальные шаблоны: ответ по документам; сравнение двух документов; исследование с источниками; структурирование входных данных; подготовка отчёта; создание черновика письма; отправка после согласования; анализ репозитория; исправление с запуском тестов.</w:t>
      </w:r>
    </w:p>
    <w:p>
      <w:r>
        <w:t>Расписание имеет собственную сервисную идентичность, бюджет, часовой пояс и лимит параллельных запусков. При снятии разрешения плановый запуск прекращается. Управление расписанием использует возможности Temporal и серверные политики, а не браузерный таймер.</w:t>
      </w:r>
    </w:p>
    <w:p>
      <w:pPr>
        <w:sectPr>
          <w:pgSz w:w="11906" w:h="16838"/>
          <w:pgMar w:top="1020" w:right="1020" w:bottom="1020" w:left="1077" w:header="454" w:footer="454" w:gutter="0"/>
          <w:cols w:space="720"/>
          <w:docGrid w:linePitch="360"/>
        </w:sectPr>
      </w:pPr>
    </w:p>
    <w:p>
      <w:pPr>
        <w:pStyle w:val="Heading1"/>
        <w:pageBreakBefore w:val="0"/>
      </w:pPr>
      <w:r>
        <w:t>16. Жизненный цикл задания и восстановление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9360000" cy="474673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un_lifecycl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60000" cy="47467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4. Задание сохраняет состояние независимо от браузера; повтор внешнего действия требует отдельной проверки.</w:t>
      </w:r>
    </w:p>
    <w:p>
      <w:pPr>
        <w:sectPr>
          <w:pgSz w:w="16838" w:h="11906" w:orient="landscape"/>
          <w:pgMar w:top="1020" w:right="1020" w:bottom="1020" w:left="1077" w:header="454" w:footer="454" w:gutter="0"/>
          <w:cols w:space="720"/>
          <w:docGrid w:linePitch="360"/>
        </w:sectPr>
      </w:pPr>
    </w:p>
    <w:p>
      <w:r>
        <w:t>Состояния: создано, ожидает допуска, в очереди, выполняется, ожидает пользователя, восстанавливается, завершено, отменяется, отменено и завершено с ошибкой. Переходы журналируются. У задания есть общий deadline; отдельные шаги имеют собственные timeout и retry policy.</w:t>
      </w:r>
    </w:p>
    <w:p>
      <w:r>
        <w:t>Temporal отвечает за бизнес-жизненный цикл задания, таймеры и доставку работы. Выбранный агентный runtime отвечает за внутреннее состояние и контекст. Если используется LangGraph, checkpoint хранится отдельно и связан с run ID. Недетерминированные модельные вызовы выполняются в Activities либо другом явно определённом исполнительном слое, не в детерминированном коде Workflow [S02–S03].</w:t>
      </w:r>
    </w:p>
    <w:p>
      <w:r>
        <w:t>Состояние интерфейса восстанавливается по сохранённому event cursor. События доставляются как минимум один раз; UI удаляет дубли по sequence ID. Поток токенов группируется: не требуется транзакция БД на каждый токен. Подтверждённые результаты и финальный usage сохраняются отдельно.</w:t>
      </w:r>
    </w:p>
    <w:p>
      <w:pPr>
        <w:pStyle w:val="Heading2"/>
        <w:pageBreakBefore w:val="0"/>
      </w:pPr>
      <w:r>
        <w:t>Сбой и отмена</w:t>
      </w:r>
    </w:p>
    <w:p>
      <w:r>
        <w:t>Потерянный worker выявляется по heartbeat/timeout. Новый worker получает право исполнения через действующую lease и проверку состояния; поздний результат старого исполнителя не должен запускать второй внешний эффект. Проверить это необходимо в fault-тестах.</w:t>
      </w:r>
    </w:p>
    <w:p>
      <w:r>
        <w:t>Retry разрешается только для операций с понятной семантикой. Чтение можно повторить по политике; создание записи, Git push или отправка письма требуют idempotency/outbox и обработки неоднозначного результата [S25]. Для SMTP отдельно учитывается неоднозначное подтверждение: если неизвестно, принял ли relay письмо, нельзя бесконтрольно повторять отправку.</w:t>
      </w:r>
    </w:p>
    <w:p>
      <w:r>
        <w:t>Отмена блокирует новые шаги и передаётся исполнителю. Уже отправленный внешний модельный запрос может завершиться и иметь стоимость; интерфейс показывает фактический результат отмены и сверку расхода. Остановленная песочница сохраняет разрешённые артефакты и освобождает ресурсы по политике.</w:t>
      </w:r>
    </w:p>
    <w:p>
      <w:pPr>
        <w:pStyle w:val="Heading1"/>
        <w:pageBreakBefore/>
      </w:pPr>
      <w:r>
        <w:t>17. Веб-поиск и контролируемый fetch</w:t>
      </w:r>
    </w:p>
    <w:p>
      <w:r>
        <w:t>Веб-поиск выполняется отдельным сервисом с собственной исходящей политикой. Workers вызывают search/fetch как внутренние инструменты. Для первоначальной реализации рассматривается SearXNG либо согласованный search API; провайдер меняется через адаптер. Поиск и чтение найденной страницы разделены: первый возвращает найденные источники, второй загружает разрешённое содержимое [S08].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Операция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Разрешённый результат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Контроль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search(query)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Заголовок, URL, фрагмент и время поиска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Лимит запроса, классы данных, разрешённые engines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fetch(url)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Нормализованный текст и ссылка на snapshot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URL/IP-проверка, redirect-проверка, timeout и размер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fetch_document(url)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Проверенный файл, если функция разрешена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MIME, антивирус, архивные ограничения и ACL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browser_fetch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Извлечение страницы с JavaScript, отдельный профиль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Изолированный браузер, без корпоративных cookies и иных секретов</w:t>
            </w:r>
          </w:p>
        </w:tc>
      </w:tr>
    </w:tbl>
    <w:p>
      <w:pPr>
        <w:spacing w:after="40"/>
      </w:pPr>
    </w:p>
    <w:p>
      <w:r>
        <w:t>Обычный search/fetch не исполняет произвольный код страницы. Запросы к loopback, private/link-local адресам, metadata endpoints и внутренним административным службам блокируются; DNS и каждый redirect проверяются на этапе фактического соединения. Внутренний поиск реализуется отдельным connector с собственной allowlist.</w:t>
      </w:r>
    </w:p>
    <w:p>
      <w:r>
        <w:t>Если сеть разрешает только ограниченный список сайтов, портал сообщает, что исследование ограничено этой областью. Для чтения произвольного найденного сайта требуется соответствующая политика именно fetch-сервиса; открывать доступ workers не нужно.</w:t>
      </w:r>
    </w:p>
    <w:p>
      <w:r>
        <w:t>Поисковый запрос может содержать корпоративные данные. Для ограниченных классов данных внешний search запрещается, либо используется утверждённый запрос/процесс разрешения передачи. Простая фильтрация ключевых слов не считается доказательством отсутствия утечки. Источники веба считаются недоверенными данными, не инструкциями для изменения прав или запуска инструментов.</w:t>
      </w:r>
    </w:p>
    <w:p>
      <w:r>
        <w:t>При недоступности поиска можно продолжить разрешённую работу по внутренним материалам, явно указав отсутствие внешней проверки. Нельзя выдавать старый кэш за свежий поиск; время snapshot показывается.</w:t>
      </w:r>
    </w:p>
    <w:p>
      <w:pPr>
        <w:pStyle w:val="Heading1"/>
        <w:pageBreakBefore/>
      </w:pPr>
      <w:r>
        <w:t>18. Работа с документами и файлами</w:t>
      </w:r>
    </w:p>
    <w:p>
      <w:r>
        <w:t>Поддерживаемые форматы первой поставки: PDF, DOCX, TXT, Markdown, CSV и XLSX. OCR добавляется для согласованных языков и качества сканов. Разбор таблиц и изображений является отдельной проверяемой возможностью. Для локального parser рассматривается Docling и специализированные библиотеки по формату [S09].</w:t>
      </w:r>
    </w:p>
    <w:p>
      <w:r>
        <w:t>Конвейер: загрузка → проверка типа/размера → карантин/антивирус → извлечение → представление текста и структуры → артефакты → при необходимости индекс. Пользователь видит статус и причину отказа. Большой файл обрабатывается фоновым заданием.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Настройка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Начальный проектный предел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Изменение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Файл интерактивной загрузки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25 MB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Администратор по ресурсу и формату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Файл фоновой обработки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100 MB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После проверки parser и timeouts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Число файлов в одном запросе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20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 политике пространства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Архивы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Отключены в R1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Позже с пределом распаковки, вложенности и MIME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OCR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Выбранные языки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Расширяется после тестового корпуса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Office-макросы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 выполняются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 включать как побочный эффект parsing</w:t>
            </w:r>
          </w:p>
        </w:tc>
      </w:tr>
    </w:tbl>
    <w:p>
      <w:pPr>
        <w:spacing w:after="40"/>
      </w:pPr>
    </w:p>
    <w:p>
      <w:r>
        <w:t>Пределы служат отправной точкой, а не окончательным SLA. Парсеры запускаются в ограниченной среде с deadline и memory limits. Повреждённый файл не должен блокировать worker pool. Формат определяется по содержимому и библиотеке, а не только расширению.</w:t>
      </w:r>
    </w:p>
    <w:p>
      <w:r>
        <w:t>Результаты: краткое содержание, сравнение версий, извлечённые таблицы, структурированный JSON/CSV, отчёт DOCX/PDF и ссылки на источники. Для цитирования сохраняются page/section/sheet identifiers и версия документа.</w:t>
      </w:r>
    </w:p>
    <w:p>
      <w:r>
        <w:t>Редактирование исходного DOCX с полным сохранением сложной вёрстки не обещается в R1. Первоначально формируются новые артефакты по шаблонам. Интерактивный офисный редактор — возможное отдельное расширение, не обязательная часть портала.</w:t>
      </w:r>
    </w:p>
    <w:p>
      <w:r>
        <w:t>Удаление исходника инициирует удаление извлечённого текста, chunks, preview и неразрешённых кэшей. Порядок удаления backup определяется политикой хранения и не выдаётся за мгновенное физическое стирание всех копий.</w:t>
      </w:r>
    </w:p>
    <w:p>
      <w:pPr>
        <w:pStyle w:val="Heading1"/>
        <w:pageBreakBefore/>
      </w:pPr>
      <w:r>
        <w:t>19. RAG и базы знаний</w:t>
      </w:r>
    </w:p>
    <w:p>
      <w:r>
        <w:t>База знаний принадлежит пространству и содержит версии источников. Векторизация вызывается через зарегистрированный embedding API; инфраструктура самого API находится вне проекта. Для начального объёма используется pgvector и полнотекстовый поиск. Переход на отдельный search/vector сервис подтверждается измерениями, а не числом зарегистрированных пользователей [S11].</w:t>
      </w:r>
    </w:p>
    <w:p>
      <w:pPr>
        <w:pStyle w:val="Heading2"/>
        <w:pageBreakBefore w:val="0"/>
      </w:pPr>
      <w:r>
        <w:t>Индексация</w:t>
      </w:r>
    </w:p>
    <w:p>
      <w:r>
        <w:t>Документ получает версии, ACL, класс данных и статус обработки. Chunks сохраняют связь с исходником, его версией и координатами. Модель embeddings и размер вектора фиксируются в версии индекса. Смена embedding-профиля создаёт новый индекс либо управляемую переиндексацию; смешивать несовместимые векторы нельзя.</w:t>
      </w:r>
    </w:p>
    <w:p>
      <w:pPr>
        <w:pStyle w:val="Heading2"/>
        <w:pageBreakBefore w:val="0"/>
      </w:pPr>
      <w:r>
        <w:t>Получение контекста</w:t>
      </w:r>
    </w:p>
    <w:p>
      <w:r>
        <w:t>Сначала определяется допустимая область данных, затем выполняется retrieval и повторная проверка актуального ACL перед передачей результата модели. Для approximate search фильтрация должна сохранять качество выборки; нужно проверять iterative scans, partitioning или раздельные индексы на реальных правах. Секретный chunk не передаётся модели с надеждой, что она его не процитирует.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313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Возможность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Критерий реализации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Semantic + lexical search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На эталонном корпусе измеряется релевантность обоих каналов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Цитирование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Ответ содержит существующие ссылки на доступные источники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Обновление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Изменённая версия не смешивается с актуальной без явной политики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Удаление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Удалённый источник перестаёт возвращаться в retrieval после завершения pipeline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ACL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Чужие документы отсутствуют в результатах, prompt, кэше и артефактах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Диагностика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Пользователь видит область поиска, статус индекса и отсутствие нужных данных</w:t>
            </w:r>
          </w:p>
        </w:tc>
      </w:tr>
    </w:tbl>
    <w:p>
      <w:pPr>
        <w:spacing w:after="40"/>
      </w:pPr>
    </w:p>
    <w:p>
      <w:r>
        <w:t>В R1 knowledge-функция ограничивается выбранными файлами; общий долговременный RAG поставляется в R2. Reranker подключается только при подтверждённом улучшении качества и с учётом дополнительной стоимости.</w:t>
      </w:r>
    </w:p>
    <w:p>
      <w:r>
        <w:t>Доступность embedding API и его пропускная способность задают ограничения индексации. Сайзинг портала учитывает очередь и локальный parsing, но не включает серверы модели embeddings.</w:t>
      </w:r>
    </w:p>
    <w:p>
      <w:pPr>
        <w:pStyle w:val="Heading1"/>
        <w:pageBreakBefore/>
      </w:pPr>
      <w:r>
        <w:t>20. Код и изолированные рабочие среды</w:t>
      </w:r>
    </w:p>
    <w:p>
      <w:r>
        <w:t>Coding-задание получает отдельную рабочую среду, ограниченный набор файлов и профиль ресурсов. Пользователь выбирает зарегистрированный репозиторий либо загружает архив по политике. Результат — diff/patch, журнал проверок и разрешённые артефакты. Автоматическое изменение production-среды не входит в базовую функцию.</w:t>
      </w:r>
    </w:p>
    <w:p>
      <w:r>
        <w:t>Начальный профиль песочницы: 2 vCPU, 4–8 GB RAM, 20 GB рабочего диска и deadline до 60 минут; это настраиваемые пределы, проверяемые на пилоте. Тяжёлый профиль 4–8 vCPU/16 GB требует отдельного права и ресурсной квоты.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313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Область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Правило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Изоляция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Отдельный контейнер/VM, непривилегированный код, ограничение PID/CPU/RAM/диска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Сеть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Прямой интернет запрещён; доступ только к назначенным внутренним mirrors и endpoints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Секреты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Ключи моделей, LDAP, SMTP и управления платформой в среду не передаются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Docker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Общий host socket недоступен; создание сред через изолированный executor/control service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Git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Разрешённые репозитории, минимальные права, отдельное подтверждение push/PR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Инструменты сборки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Заранее подготовленные и версионируемые образы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Завершение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Сохранить доступные артефакты; закрыть процессы; очистить среду по retention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Совместимость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Проверить shell, компиляторы, браузерные тесты и ограничения runtime</w:t>
            </w:r>
          </w:p>
        </w:tc>
      </w:tr>
    </w:tbl>
    <w:p>
      <w:pPr>
        <w:spacing w:after="40"/>
      </w:pPr>
    </w:p>
    <w:p>
      <w:r>
        <w:t>Для усиления контейнерной изоляции рассматривается gVisor или отдельные VM. Выбор зависит от совместимости тестов, доступного runtime и требований организации. Готовый harness не освобождает от ограничения среды [S12].</w:t>
      </w:r>
    </w:p>
    <w:p>
      <w:r>
        <w:t>Без внутренних mirrors агент не сможет загрузить зависимости при сборке. Для проектов должны быть доступны согласованные npm/Python/Go/OS/container зависимости. Пользователь не получает право подключить произвольный интернет-proxy ради одного теста.</w:t>
      </w:r>
    </w:p>
    <w:p>
      <w:r>
        <w:t>Если нужен специализированный coding-runtime, OpenHands SDK проходит тот же eval-набор. Самодельные файловые адаптеры и интеграция executor допустимы; собственный универсальный агентный цикл не разрабатывается.</w:t>
      </w:r>
    </w:p>
    <w:p>
      <w:pPr>
        <w:pStyle w:val="Heading1"/>
        <w:pageBreakBefore/>
      </w:pPr>
      <w:r>
        <w:t>21. MCP, инструменты и плагины</w:t>
      </w:r>
    </w:p>
    <w:p>
      <w:r>
        <w:t>Шлюз инструментов публикует реестр проверенных возможностей. MCP используется как стандартный протокол интеграции там, где он соответствует задаче. Регистрация сервера не означает разрешение всех его tools всем пользователям [S13].</w:t>
      </w:r>
    </w:p>
    <w:p>
      <w:pPr>
        <w:pStyle w:val="Heading2"/>
        <w:pageBreakBefore w:val="0"/>
      </w:pPr>
      <w:r>
        <w:t>Контракт расширения</w:t>
      </w:r>
    </w:p>
    <w:p>
      <w:r>
        <w:t>Manifest содержит ID, версию, описание, входную/выходную schema, endpoint, required permissions, классы данных, сетевые назначения, секреты, ресурсный профиль и семантику внешних эффектов. Секреты задаются ссылками. Автор предоставляет health-check, контрактные тесты и инструкцию offline-поставки.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313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Обязательная проверка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Регистрация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Владелец, лицензия/источник, endpoint, зависимости и версия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Проверка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Schema, auth, SSRF, ресурсные пределы, negative ACL tests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Публикация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Разрешённые пространства и инструменты, режим согласования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Обновление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Совместимость контрактов и возможность rollback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Отключение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Запрет новых вызовов; понятное поведение активных заданий</w:t>
            </w:r>
          </w:p>
        </w:tc>
      </w:tr>
    </w:tbl>
    <w:p>
      <w:pPr>
        <w:spacing w:after="40"/>
      </w:pPr>
    </w:p>
    <w:p>
      <w:r>
        <w:t>Вызов выполняется с идентичностью run, установленной сервером. Поля user_id/group_id из сгенерированных моделью аргументов не считаются доказательством полномочий. Downstream-система должна проверять права; обычный сервисный ключ с неограниченным доступом нельзя выдавать за делегированную пользовательскую авторизацию.</w:t>
      </w:r>
    </w:p>
    <w:p>
      <w:r>
        <w:t>Раздельно контролируются чтение, изменение, удаление и внешний обмен данными. Согласование применяется к конкретной операции, а не ко всему tool на неопределённое время. Изменение параметров после согласования требует нового решения.</w:t>
      </w:r>
    </w:p>
    <w:p>
      <w:r>
        <w:t>Пользовательские плагины исполняются в отдельных сервисах/средах. Произвольная загрузка кода в процесс Go API запрещена. На старте не нужен открытый marketplace: достаточно корпоративного реестра и workflow публикации.</w:t>
      </w:r>
    </w:p>
    <w:p>
      <w:pPr>
        <w:pStyle w:val="Heading1"/>
        <w:pageBreakBefore/>
      </w:pPr>
      <w:r>
        <w:t>22. SMTP и уведомления</w:t>
      </w:r>
    </w:p>
    <w:p>
      <w:r>
        <w:t>Системные уведомления и пользовательская отправка письма — две независимые функции. Уведомления о завершении задания не должны давать пользователю право отправить произвольное письмо от имени платформы.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313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Функция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Политика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Системное уведомление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Утверждённый sender, шаблон, адрес пользователя и минимальный контент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Черновик письма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Создание артефакта без сетевой отправки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Отправка пользователем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Tool permission, разрешённый sender и адресаты, проверка вложений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Внешние адресаты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Отдельное разрешение по классу данных и доменам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Автоматическая рассылка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Сервисная идентичность, лимит количества, owner и аудит</w:t>
            </w:r>
          </w:p>
        </w:tc>
      </w:tr>
    </w:tbl>
    <w:p>
      <w:pPr>
        <w:spacing w:after="40"/>
      </w:pPr>
    </w:p>
    <w:p>
      <w:r>
        <w:t>SMTP relay и TLS настраиваются администратором. Почтовые credentials доступны только почтовому сервису. Письмо проходит проверку получателей, размера, MIME и классификации вложений. При необходимости UI показывает точное содержимое перед согласованием.</w:t>
      </w:r>
    </w:p>
    <w:p>
      <w:r>
        <w:t>Для отправки используется outbox и уникальный ID бизнес-операции. Журнал различает запланировано, передано relay, отклонено и неопределённый результат. Успешная передача relay не равна подтверждённому прочтению письма. При неоднозначном результате автоматические повторные отправки ограничены регламентом.</w:t>
      </w:r>
    </w:p>
    <w:p>
      <w:r>
        <w:t>Предлагаемый стартовый лимит — до 20 пользовательских писем в день на человека; фактический предел устанавливает организация. Массовая внешняя рассылка не включается по умолчанию.</w:t>
      </w:r>
    </w:p>
    <w:p>
      <w:pPr>
        <w:pStyle w:val="Heading1"/>
        <w:pageBreakBefore/>
      </w:pPr>
      <w:r>
        <w:t>23. Единая администрация и оркестраторы</w:t>
      </w:r>
    </w:p>
    <w:p>
      <w:r>
        <w:t>Пользователь получает одну административную панель, но за ней разделены управление приложением, исполнение заданий и размещение сервисов. Один оркестратор не заменяет правила доступа или каталог модельных API.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Уровень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Инструмент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Что администрируется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Продукт / control plane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Go API и панель портала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Подключения, помощники, права, бюджеты, инструменты, прайс и политики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Агентные задания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Temporal и интеграция runtime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Очереди, timeout, retries, расписания, отмена и восстановление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Базовая инфраструктура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Ansible + Compose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Inventory, конфигурация VM, контейнеры, версии и обновление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Динамическое размещение, опция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Nomad или Kubernetes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Placement, capacity, автоматическое перемещение контейнеров</w:t>
            </w:r>
          </w:p>
        </w:tc>
      </w:tr>
    </w:tbl>
    <w:p>
      <w:pPr>
        <w:spacing w:after="40"/>
      </w:pPr>
    </w:p>
    <w:p>
      <w:pPr>
        <w:pStyle w:val="Heading2"/>
        <w:pageBreakBefore w:val="0"/>
      </w:pPr>
      <w:r>
        <w:t>Глобальная конфигурация</w:t>
      </w:r>
    </w:p>
    <w:p>
      <w:r>
        <w:t>Настройки имеют области: инсталляция → пространство → помощник → задание. Нижний уровень может ужесточать ограничения; расширять права без делегирования нельзя. Изменение проходит валидацию, preview влияния, запись новой revision, применение и проверку. Секреты хранятся отдельно и не возвращаются в export.</w:t>
      </w:r>
    </w:p>
    <w:p>
      <w:r>
        <w:t>В панели доступны LDAP mappings, зарегистрированные endpoints, разрешённые сетевые маршруты, бюджеты, цены, профили runtime, resource pools, SMTP, retention, feature flags и правила согласования. Для изменения критических политик предусмотрен дополнительный review, если это требует организация.</w:t>
      </w:r>
    </w:p>
    <w:p>
      <w:r>
        <w:t>Показываются активная и желаемая конфигурации, drift и результат последнего применения. Глобальная настройка не редактирует скрыто произвольные файлы сервера. Инфраструктурное действие передаётся ограниченному deployment runner с утверждённым playbook и параметрами; web API не получает root SSH ко всем VM.</w:t>
      </w:r>
    </w:p>
    <w:p>
      <w:pPr>
        <w:pStyle w:val="Heading2"/>
        <w:pageBreakBefore w:val="0"/>
      </w:pPr>
      <w:r>
        <w:t>Выбор инфраструктурного инструмента</w:t>
      </w:r>
    </w:p>
    <w:p>
      <w:r>
        <w:rPr>
          <w:b/>
        </w:rPr>
        <w:t>Базовый вариант — Compose + Ansible на нескольких VM.</w:t>
      </w:r>
      <w:r>
        <w:t xml:space="preserve"> Он понятнее для старта и не требует Kubernetes. Его предел — статическое размещение сервисов: отказоустойчивость обеспечивают готовые реплики и запас мощности; Ansible добавляет или восстанавливает узлы [S06, S21].</w:t>
      </w:r>
    </w:p>
    <w:p>
      <w:r>
        <w:t>Nomad рассматривается, если потребуется автоматическое placement без Kubernetes. Он поставляется как единый бинарник, но HA, ACL/TLS, сеть, storage и секреты всё равно требуют настройки. Условия лицензии выбранной версии проверяются отдельно; нельзя называть их автоматически Apache/MIT [S22–S23].</w:t>
      </w:r>
    </w:p>
    <w:p>
      <w:r>
        <w:t>Kubernetes предлагается только при наличии команды/готовой корпоративной платформы или подтверждённой необходимости. Его возможности не являются обязательным условием заявленных функций портала.</w:t>
      </w:r>
    </w:p>
    <w:p>
      <w:pPr>
        <w:sectPr>
          <w:pgSz w:w="11906" w:h="16838"/>
          <w:pgMar w:top="1020" w:right="1020" w:bottom="1020" w:left="1077" w:header="454" w:footer="454" w:gutter="0"/>
          <w:cols w:space="720"/>
          <w:docGrid w:linePitch="360"/>
        </w:sectPr>
      </w:pPr>
    </w:p>
    <w:p>
      <w:pPr>
        <w:pStyle w:val="Heading1"/>
        <w:pageBreakBefore w:val="0"/>
      </w:pPr>
      <w:r>
        <w:t>24. Сетевая архитектура и матрица доступов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9360000" cy="445814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twork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60000" cy="44581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5. Раздельные исходящие направления: внешние модели и веб-поиск. Workers и песочницы не получают общего выхода.</w:t>
      </w:r>
    </w:p>
    <w:p>
      <w:pPr>
        <w:sectPr>
          <w:pgSz w:w="16838" w:h="11906" w:orient="landscape"/>
          <w:pgMar w:top="1020" w:right="1020" w:bottom="1020" w:left="1077" w:header="454" w:footer="454" w:gutter="0"/>
          <w:cols w:space="720"/>
          <w:docGrid w:linePitch="360"/>
        </w:sectPr>
      </w:pPr>
    </w:p>
    <w:p>
      <w:r>
        <w:t>Все назначения регистрируются. По умолчанию соединения между зонами запрещены; открываются только строки утверждённой матрицы. В таблице приведены типовые порты приложения; конкретный proxy, S3 и модельный endpoint могут использовать иной согласованный порт.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04"/>
        <w:gridCol w:w="2551"/>
        <w:gridCol w:w="3515"/>
        <w:gridCol w:w="2438"/>
      </w:tblGrid>
      <w:tr>
        <w:trPr>
          <w:tblHeader/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Источник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Назначение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Протокол / порт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Назначение связи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Браузер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LB портала и IdP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HTTPS 443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UI, API, OIDC, SSE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LB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API / IdP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HTTPS, зарегистрированный порт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Проверенные внутренние backends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IdP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LDAP/AD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LDAPS 636; либо утверждённый StartTLS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Read-only пользователи и группы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API / runtime / сервисы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PostgreSQL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TCP 5432 + TLS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Только своя БД/роль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API / workers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Temporal frontend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TCP 7233 + TLS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Задания, события и polling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Workers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Модельный шлюз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HTTPS 443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Разрешённые модельные вызовы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Модельный шлюз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Внутренний API модели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Утверждённый endpoint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Конкретное подключение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Модельный шлюз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Egress proxy моделей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Корпоративный proxy-порт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Только модельный маршрут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Egress proxy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API провайдеров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HTTPS 443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Allowlist провайдеров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Workers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Шлюз инструментов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HTTPS 443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Привязанные к run вызовы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Шлюз инструментов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Search/fetch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HTTPS 443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Отдельный сервис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Search/fetch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Интернет через свой proxy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HTTPS 443; HTTP только по исключению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Поисковые engines и разрешённые страницы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Шлюз инструментов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MCP / Git / корпоративные API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Только зарегистрированные порты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Разрешённые операции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Почтовый сервис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SMTP relay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Обычно TCP 587 + TLS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Уведомления и разрешённые письма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API / workers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S3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Обычно HTTPS 443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Свои buckets и object scopes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Worker executor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Песочница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Закрытый управляющий endpoint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Запуск, события, файлы и остановка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Песочницы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Назначенные внутренние mirrors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HTTPS, согласованные endpoints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Сборка без интернета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Узлы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Корпоративные DNS / NTP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TCP/UDP 53; UDP 123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Разрешённые серверы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Узлы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Registry / пакетные зеркала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HTTPS 443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Offline-поставка и зависимости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Deployment runner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Управляемые VM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SSH 22 из административной зоны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Утверждённые Ansible-операции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Мониторинг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Метрики компонентов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Разрешённые metrics endpoints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Отдельная сервисная идентичность</w:t>
            </w:r>
          </w:p>
        </w:tc>
      </w:tr>
    </w:tbl>
    <w:p>
      <w:pPr>
        <w:spacing w:after="40"/>
      </w:pPr>
    </w:p>
    <w:p>
      <w:pPr>
        <w:pStyle w:val="Heading2"/>
        <w:pageBreakBefore w:val="0"/>
      </w:pPr>
      <w:r>
        <w:t>Дополнительные служебные связи</w:t>
      </w:r>
    </w:p>
    <w:p>
      <w:r>
        <w:t>Внутренние порты Temporal между его компонентами, PostgreSQL replication, выбранного HA-механизма, S3 и мониторинга фиксируются по конкретной версии в deploy inventory. Для self-hosted PostgreSQL HA может требоваться отдельный quorum/control store; его соединения добавляются явно.</w:t>
      </w:r>
    </w:p>
    <w:p>
      <w:r>
        <w:t>В варианте Nomad: HTTP API обычно 4646, RPC 4647, gossip TCP/UDP 4648; окончательная конфигурация проверяется по документации версии. В варианте K3s: 6443 для управляющих узлов, 2379–2380 между etcd servers и выбранные CNI-порты. Эти опциональные строки не открываются при базовом Compose-развёртывании [S07, S24].</w:t>
      </w:r>
    </w:p>
    <w:p>
      <w:r>
        <w:t>Compose networks и контейнерные настройки сами по себе не доказывают запрет egress. Применяются host firewall и ограничения на границе сети; учитываются Docker forwarding/NAT, IPv6, DNS и прокси. Запрет проверяется из самой песочницы и worker. Обход через общий HTTP-tool не допускается.</w:t>
      </w:r>
    </w:p>
    <w:p>
      <w:pPr>
        <w:pStyle w:val="Heading1"/>
        <w:pageBreakBefore/>
      </w:pPr>
      <w:r>
        <w:t>25. Хранилища, секреты и сроки хранения</w:t>
      </w:r>
    </w:p>
    <w:p>
      <w:r>
        <w:t>PostgreSQL хранит каталоги, права, задания, проводки и аудит. Большие документы, snapshots, checkpoints с крупными вложениями и артефакты размещаются в S3 либо связываются с объектами S3. У каждого сервиса отдельные credentials и минимальная роль.</w:t>
      </w:r>
    </w:p>
    <w:p>
      <w:r>
        <w:t>Ledger не редактируется вручную для исправления расхода: применяется корректирующая проводка с основанием. Конфигурация и опубликованные версии помощников сохраняются для воспроизводимости задания. История событий не равна бесконечному хранению всей модельной переписки.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Данные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Предлагаемый стартовый retention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Особенности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Диалоги и обычные результаты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90 дней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Пользовательская/пространственная настройка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Рабочие артефакты и web snapshots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30 дней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Закреплённые результаты могут храниться дольше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Временные среды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 24 часов после завершения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Диск и процессы очищаются по регламенту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Checkpoints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30 дней после завершения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Активные задания не удаляются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Метрики высокой детализации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30 дней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Долговременные агрегаты отдельно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Аудит и бюджетные проводки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180 дней или корпоративный норматив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Значение согласуется до production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Базы знаний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 удаления/архивирования владельцем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Версии и backup по общей политике</w:t>
            </w:r>
          </w:p>
        </w:tc>
      </w:tr>
    </w:tbl>
    <w:p>
      <w:pPr>
        <w:spacing w:after="40"/>
      </w:pPr>
    </w:p>
    <w:p>
      <w:r>
        <w:t>Это проектные значения, не нормативные требования. Юридические и корпоративные сроки предоставляет заказчик. Отдельно определяется срок хранения резервных копий и процедура удаления из восстановленной системы.</w:t>
      </w:r>
    </w:p>
    <w:p>
      <w:r>
        <w:t>Секреты доступны через внутренний secret service либо защищённую конфигурацию сервисов с ограниченными файловыми правами. В R1 не обязательно разворачивать новый Vault, если корпоративный secret store уже есть. Обязательны masking, ротация, исключение из логов/export и отсутствие ключей в пользовательской среде.</w:t>
      </w:r>
    </w:p>
    <w:p>
      <w:r>
        <w:t>Backup охватывает PostgreSQL, S3/артефакты, необходимые конфигурации и ключевой материал по отдельному защищённому процессу. Наличие replication не заменяет backup от случайного удаления или повреждения данных.</w:t>
      </w:r>
    </w:p>
    <w:p>
      <w:pPr>
        <w:pStyle w:val="Heading1"/>
        <w:pageBreakBefore/>
      </w:pPr>
      <w:r>
        <w:t>26. Развёртывание и отказоустойчивость без обязательного Kubernetes</w:t>
      </w:r>
    </w:p>
    <w:p>
      <w:r>
        <w:t>Базовый production-вариант — несколько VM с закреплёнными ролями и Compose-проектами. Ansible устанавливает одинаковые версии, конфигурацию и firewall. Load balancer направляет трафик к здоровым API/IdP. Workers разных VM получают задания из общих Temporal task queues; отдельные очереди обслуживают чат, документы и код.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Профиль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Что обеспечивает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Ограничение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Один сервер, разработка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Проверка UI, API и runtime на локальных контейнерах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 используется как HA-система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Разделённый пилот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Приложение, данные, выполнение и поиск на отдельных VM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Часть сервисов остаётся без резервной реплики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Multi-VM production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API/IdP replicas, резерв workers, HA данных, backup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Нет автоматического placement контейнеров между VM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Nomad, опция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Динамическое размещение и восстановление workloads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Отдельный control cluster, политика сети, secrets/storage и проверка лицензии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Kubernetes, опция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Корпоративный стандарт и существующие platform services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Принимается только при готовой эксплуатации или подтверждённой потребности</w:t>
            </w:r>
          </w:p>
        </w:tc>
      </w:tr>
    </w:tbl>
    <w:p>
      <w:pPr>
        <w:spacing w:after="40"/>
      </w:pPr>
    </w:p>
    <w:p>
      <w:r>
        <w:t>Для PostgreSQL предпочтителен существующий корпоративный HA-сервис. Если его нет, в проект инфраструктуры включаются primary, replicas и готовый механизм failover с quorum, fencing и проверкой split-brain. Это отдельный обязательный результат этапа HA, а не скрытое свойство Compose. В качестве кандидата можно проверить Patroni либо стандарт организации; конкретная схема фиксируется ADR.</w:t>
      </w:r>
    </w:p>
    <w:p>
      <w:r>
        <w:t>Temporal в production разворачивается по поддерживаемой схеме с несколькими экземплярами сервисов и отдельным persistence. Replica count не заменяет проверку отказа и доступности БД. У разных сервисов отдельные базы и connection pools; тяжёлый retrieval не должен блокировать ledger.</w:t>
      </w:r>
    </w:p>
    <w:p>
      <w:r>
        <w:t>Запас N+1 означает, что после потери одного узла соответствующего пула остаётся ресурс для согласованного числа заданий. Очередь ограничивает новую нагрузку при нехватке capacity. Рост пула выполняется Ansible; динамический autoscaling не обещается в базовой поставке.</w:t>
      </w:r>
    </w:p>
    <w:p>
      <w:r>
        <w:t>Предлагаемые цели: доступность портала 99,9% в месяц; RPO при восстановлении из backup до 15 минут; RTO до двух часов. Они подлежат согласованию и испытанию. Для acknowledged транзакций при одиночном отказе RPO=0 допускается только при проверенной synchronous replication/failover-конфигурации. Внешние модельные API и корпоративные системы имеют отдельные зависимости и показатели; end-to-end доступность измеряется независимо.</w:t>
      </w:r>
    </w:p>
    <w:p>
      <w:pPr>
        <w:pStyle w:val="Heading1"/>
        <w:pageBreakBefore/>
      </w:pPr>
      <w:r>
        <w:t>27. Сайзинг серверов приложения</w:t>
      </w:r>
    </w:p>
    <w:p>
      <w:r>
        <w:t>Расчёт исключает inference, GPU, обучение и серверы embeddings. Подключаемые API моделей рассматриваются как внешняя зависимость. Сайзинг приложения определяется открытыми сессиями, числом задач, тяжестью parsing и количеством активных песочниц.</w:t>
      </w:r>
    </w:p>
    <w:p>
      <w:pPr>
        <w:pStyle w:val="Heading2"/>
        <w:pageBreakBefore w:val="0"/>
      </w:pPr>
      <w:r>
        <w:t>Допущения нагрузки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04"/>
        <w:gridCol w:w="2551"/>
        <w:gridCol w:w="3515"/>
        <w:gridCol w:w="2438"/>
      </w:tblGrid>
      <w:tr>
        <w:trPr>
          <w:tblHeader/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Профиль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Сессии на пике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Одновременные runs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Coding-среды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100 пользователей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10–20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5–10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3–5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1000 пользователей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100–200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20–50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10–20</w:t>
            </w:r>
          </w:p>
        </w:tc>
      </w:tr>
      <w:tr>
        <w:trPr>
          <w:cantSplit/>
        </w:trPr>
        <w:tc>
          <w:tcPr>
            <w:tcW w:type="dxa" w:w="130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3000 пользователей</w:t>
            </w:r>
          </w:p>
        </w:tc>
        <w:tc>
          <w:tcPr>
            <w:tcW w:type="dxa" w:w="255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300–600</w:t>
            </w:r>
          </w:p>
        </w:tc>
        <w:tc>
          <w:tcPr>
            <w:tcW w:type="dxa" w:w="351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60–120</w:t>
            </w:r>
          </w:p>
        </w:tc>
        <w:tc>
          <w:tcPr>
            <w:tcW w:type="dxa" w:w="243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30–60</w:t>
            </w:r>
          </w:p>
        </w:tc>
      </w:tr>
    </w:tbl>
    <w:p>
      <w:pPr>
        <w:spacing w:after="40"/>
      </w:pPr>
    </w:p>
    <w:p>
      <w:r>
        <w:t>Это проектные сценарии, не нормативные коэффициенты. При преимущественно чатовой работе сервисных серверов понадобится меньше, чем при большом объёме OCR, сборок и браузерных тестов. Расход CPU idle agent, ожидающего модельный API, нельзя приравнивать к компиляции проекта.</w:t>
      </w:r>
    </w:p>
    <w:p>
      <w:pPr>
        <w:pStyle w:val="Heading2"/>
        <w:pageBreakBefore w:val="0"/>
      </w:pPr>
      <w:r>
        <w:t>Пилот: четыре VM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737"/>
        <w:gridCol w:w="850"/>
        <w:gridCol w:w="1020"/>
        <w:gridCol w:w="1701"/>
        <w:gridCol w:w="3345"/>
      </w:tblGrid>
      <w:tr>
        <w:trPr>
          <w:tblHeader/>
          <w:cantSplit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6"/>
              </w:rPr>
              <w:t>Роль</w:t>
            </w:r>
          </w:p>
        </w:tc>
        <w:tc>
          <w:tcPr>
            <w:tcW w:type="dxa" w:w="7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6"/>
              </w:rPr>
              <w:t>Узлы</w:t>
            </w:r>
          </w:p>
        </w:tc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6"/>
              </w:rPr>
              <w:t>vCPU</w:t>
            </w:r>
          </w:p>
        </w:tc>
        <w:tc>
          <w:tcPr>
            <w:tcW w:type="dxa" w:w="10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6"/>
              </w:rPr>
              <w:t>RAM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6"/>
              </w:rPr>
              <w:t>Диск</w:t>
            </w:r>
          </w:p>
        </w:tc>
        <w:tc>
          <w:tcPr>
            <w:tcW w:type="dxa" w:w="334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6"/>
              </w:rPr>
              <w:t>Размещаемые компоненты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Приложение</w:t>
            </w:r>
          </w:p>
        </w:tc>
        <w:tc>
          <w:tcPr>
            <w:tcW w:type="dxa" w:w="7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8</w:t>
            </w:r>
          </w:p>
        </w:tc>
        <w:tc>
          <w:tcPr>
            <w:tcW w:type="dxa" w:w="10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32 GB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200 GB SSD</w:t>
            </w:r>
          </w:p>
        </w:tc>
        <w:tc>
          <w:tcPr>
            <w:tcW w:type="dxa" w:w="334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API/UI, IdP, шлюзы и небольшой Temporal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Данные</w:t>
            </w:r>
          </w:p>
        </w:tc>
        <w:tc>
          <w:tcPr>
            <w:tcW w:type="dxa" w:w="7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8</w:t>
            </w:r>
          </w:p>
        </w:tc>
        <w:tc>
          <w:tcPr>
            <w:tcW w:type="dxa" w:w="10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32 GB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0,5–1 TB SSD</w:t>
            </w:r>
          </w:p>
        </w:tc>
        <w:tc>
          <w:tcPr>
            <w:tcW w:type="dxa" w:w="334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PostgreSQL и пилотное файловое хранилище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Выполнение</w:t>
            </w:r>
          </w:p>
        </w:tc>
        <w:tc>
          <w:tcPr>
            <w:tcW w:type="dxa" w:w="7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16</w:t>
            </w:r>
          </w:p>
        </w:tc>
        <w:tc>
          <w:tcPr>
            <w:tcW w:type="dxa" w:w="10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64 GB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500 GB SSD</w:t>
            </w:r>
          </w:p>
        </w:tc>
        <w:tc>
          <w:tcPr>
            <w:tcW w:type="dxa" w:w="334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Runtime, parsing и ограниченные песочницы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Search/fetch</w:t>
            </w:r>
          </w:p>
        </w:tc>
        <w:tc>
          <w:tcPr>
            <w:tcW w:type="dxa" w:w="7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</w:t>
            </w:r>
          </w:p>
        </w:tc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4</w:t>
            </w:r>
          </w:p>
        </w:tc>
        <w:tc>
          <w:tcPr>
            <w:tcW w:type="dxa" w:w="10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8–16 GB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100 GB SSD</w:t>
            </w:r>
          </w:p>
        </w:tc>
        <w:tc>
          <w:tcPr>
            <w:tcW w:type="dxa" w:w="334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Отдельный поиск с разрешённым egress</w:t>
            </w:r>
          </w:p>
        </w:tc>
      </w:tr>
    </w:tbl>
    <w:p>
      <w:pPr>
        <w:spacing w:after="40"/>
      </w:pPr>
    </w:p>
    <w:p>
      <w:r>
        <w:t>Для пилота разрешено объединить роль данных с приложением при снижении изоляции и отсутствии HA. Это не должно стать незаметным production-решением. Если корпоративные IdP/БД/S3 доступны, они уменьшают число локальных компонентов.</w:t>
      </w:r>
    </w:p>
    <w:p>
      <w:pPr>
        <w:pStyle w:val="Heading2"/>
        <w:pageBreakBefore w:val="0"/>
      </w:pPr>
      <w:r>
        <w:t>Распределённая эксплуатация: ориентиры на один узел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737"/>
        <w:gridCol w:w="850"/>
        <w:gridCol w:w="1020"/>
        <w:gridCol w:w="1701"/>
        <w:gridCol w:w="3345"/>
      </w:tblGrid>
      <w:tr>
        <w:trPr>
          <w:tblHeader/>
          <w:cantSplit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6"/>
              </w:rPr>
              <w:t>Роль</w:t>
            </w:r>
          </w:p>
        </w:tc>
        <w:tc>
          <w:tcPr>
            <w:tcW w:type="dxa" w:w="7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6"/>
              </w:rPr>
              <w:t>Узлы</w:t>
            </w:r>
          </w:p>
        </w:tc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6"/>
              </w:rPr>
              <w:t>vCPU</w:t>
            </w:r>
          </w:p>
        </w:tc>
        <w:tc>
          <w:tcPr>
            <w:tcW w:type="dxa" w:w="10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6"/>
              </w:rPr>
              <w:t>RAM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6"/>
              </w:rPr>
              <w:t>Диск</w:t>
            </w:r>
          </w:p>
        </w:tc>
        <w:tc>
          <w:tcPr>
            <w:tcW w:type="dxa" w:w="334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6"/>
              </w:rPr>
              <w:t>Комментарий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API / IdP / gateway</w:t>
            </w:r>
          </w:p>
        </w:tc>
        <w:tc>
          <w:tcPr>
            <w:tcW w:type="dxa" w:w="7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2–3</w:t>
            </w:r>
          </w:p>
        </w:tc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8–16</w:t>
            </w:r>
          </w:p>
        </w:tc>
        <w:tc>
          <w:tcPr>
            <w:tcW w:type="dxa" w:w="10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32 GB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200 GB SSD</w:t>
            </w:r>
          </w:p>
        </w:tc>
        <w:tc>
          <w:tcPr>
            <w:tcW w:type="dxa" w:w="334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Повторяющиеся stateless/поддерживаемые сервисные роли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Temporal / platform</w:t>
            </w:r>
          </w:p>
        </w:tc>
        <w:tc>
          <w:tcPr>
            <w:tcW w:type="dxa" w:w="7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8</w:t>
            </w:r>
          </w:p>
        </w:tc>
        <w:tc>
          <w:tcPr>
            <w:tcW w:type="dxa" w:w="10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16–32 GB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200 GB SSD</w:t>
            </w:r>
          </w:p>
        </w:tc>
        <w:tc>
          <w:tcPr>
            <w:tcW w:type="dxa" w:w="334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Могут совмещаться с сервисными VM после измерения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Runtime / parsing</w:t>
            </w:r>
          </w:p>
        </w:tc>
        <w:tc>
          <w:tcPr>
            <w:tcW w:type="dxa" w:w="7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2–4</w:t>
            </w:r>
          </w:p>
        </w:tc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16</w:t>
            </w:r>
          </w:p>
        </w:tc>
        <w:tc>
          <w:tcPr>
            <w:tcW w:type="dxa" w:w="10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64 GB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500 GB SSD</w:t>
            </w:r>
          </w:p>
        </w:tc>
        <w:tc>
          <w:tcPr>
            <w:tcW w:type="dxa" w:w="334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Отдельные пулы очередей и ограничение OCR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PostgreSQL, если свой</w:t>
            </w:r>
          </w:p>
        </w:tc>
        <w:tc>
          <w:tcPr>
            <w:tcW w:type="dxa" w:w="7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3</w:t>
            </w:r>
          </w:p>
        </w:tc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8–16</w:t>
            </w:r>
          </w:p>
        </w:tc>
        <w:tc>
          <w:tcPr>
            <w:tcW w:type="dxa" w:w="10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32–64 GB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1–2 TB NVMe</w:t>
            </w:r>
          </w:p>
        </w:tc>
        <w:tc>
          <w:tcPr>
            <w:tcW w:type="dxa" w:w="334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Primary/replicas, готовый failover и отдельный quorum по схеме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Coding-среды</w:t>
            </w:r>
          </w:p>
        </w:tc>
        <w:tc>
          <w:tcPr>
            <w:tcW w:type="dxa" w:w="7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4–6</w:t>
            </w:r>
          </w:p>
        </w:tc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32</w:t>
            </w:r>
          </w:p>
        </w:tc>
        <w:tc>
          <w:tcPr>
            <w:tcW w:type="dxa" w:w="10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128 GB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 TB NVMe</w:t>
            </w:r>
          </w:p>
        </w:tc>
        <w:tc>
          <w:tcPr>
            <w:tcW w:type="dxa" w:w="334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Для 30–60 базовых сред с проверенным запасом N+1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Search/fetch</w:t>
            </w:r>
          </w:p>
        </w:tc>
        <w:tc>
          <w:tcPr>
            <w:tcW w:type="dxa" w:w="7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4–8</w:t>
            </w:r>
          </w:p>
        </w:tc>
        <w:tc>
          <w:tcPr>
            <w:tcW w:type="dxa" w:w="10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16 GB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200 GB SSD</w:t>
            </w:r>
          </w:p>
        </w:tc>
        <w:tc>
          <w:tcPr>
            <w:tcW w:type="dxa" w:w="334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Разные отказы egress и инструмента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Наблюдаемость</w:t>
            </w:r>
          </w:p>
        </w:tc>
        <w:tc>
          <w:tcPr>
            <w:tcW w:type="dxa" w:w="7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1–2</w:t>
            </w:r>
          </w:p>
        </w:tc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8</w:t>
            </w:r>
          </w:p>
        </w:tc>
        <w:tc>
          <w:tcPr>
            <w:tcW w:type="dxa" w:w="10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32 GB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1–2 TB SSD</w:t>
            </w:r>
          </w:p>
        </w:tc>
        <w:tc>
          <w:tcPr>
            <w:tcW w:type="dxa" w:w="334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Retention и ingest определяют диск; важны внешние alerts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Registry / delivery</w:t>
            </w:r>
          </w:p>
        </w:tc>
        <w:tc>
          <w:tcPr>
            <w:tcW w:type="dxa" w:w="7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1–2</w:t>
            </w:r>
          </w:p>
        </w:tc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4–8</w:t>
            </w:r>
          </w:p>
        </w:tc>
        <w:tc>
          <w:tcPr>
            <w:tcW w:type="dxa" w:w="10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16 GB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1–2 TB SSD</w:t>
            </w:r>
          </w:p>
        </w:tc>
        <w:tc>
          <w:tcPr>
            <w:tcW w:type="dxa" w:w="334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Доступность обновлений; локальный кэш образов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LB, если свой</w:t>
            </w:r>
          </w:p>
        </w:tc>
        <w:tc>
          <w:tcPr>
            <w:tcW w:type="dxa" w:w="73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2</w:t>
            </w:r>
          </w:p>
        </w:tc>
        <w:tc>
          <w:tcPr>
            <w:tcW w:type="dxa" w:w="85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2–4</w:t>
            </w:r>
          </w:p>
        </w:tc>
        <w:tc>
          <w:tcPr>
            <w:tcW w:type="dxa" w:w="10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4–8 GB</w:t>
            </w:r>
          </w:p>
        </w:tc>
        <w:tc>
          <w:tcPr>
            <w:tcW w:type="dxa" w:w="170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50 GB SSD</w:t>
            </w:r>
          </w:p>
        </w:tc>
        <w:tc>
          <w:tcPr>
            <w:tcW w:type="dxa" w:w="334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Либо существующий корпоративный сервис</w:t>
            </w:r>
          </w:p>
        </w:tc>
      </w:tr>
    </w:tbl>
    <w:p>
      <w:pPr>
        <w:spacing w:after="40"/>
      </w:pPr>
    </w:p>
    <w:p>
      <w:r>
        <w:t>Таблица — роли для верхнего профиля; её строки нельзя механически считать обязательными отдельными VM. API и platform-роли можно объединять. Coding-pool не нужен при отсутствии coding-функции. Для 100–1000 пользователей production достаточно меньших runtime/coding-пулов при сохранении числа реплик, нужного для отказоустойчивости.</w:t>
      </w:r>
    </w:p>
    <w:p>
      <w:pPr>
        <w:pStyle w:val="Heading2"/>
        <w:pageBreakBefore w:val="0"/>
      </w:pPr>
      <w:r>
        <w:t>Как изменяются пулы при росте аудитории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2381"/>
        <w:gridCol w:w="3402"/>
        <w:gridCol w:w="2098"/>
        <w:gridCol w:w="1247"/>
      </w:tblGrid>
      <w:tr>
        <w:trPr>
          <w:tblHeader/>
          <w:cantSplit/>
        </w:trPr>
        <w:tc>
          <w:tcPr>
            <w:tcW w:type="dxa" w:w="68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6"/>
              </w:rPr>
              <w:t>Нагрузка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6"/>
              </w:rPr>
              <w:t>Service VM: API/IdP/gateways + Temporal</w:t>
            </w:r>
          </w:p>
        </w:tc>
        <w:tc>
          <w:tcPr>
            <w:tcW w:type="dxa" w:w="340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6"/>
              </w:rPr>
              <w:t>Runtime/parsing VM</w:t>
            </w:r>
          </w:p>
        </w:tc>
        <w:tc>
          <w:tcPr>
            <w:tcW w:type="dxa" w:w="20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6"/>
              </w:rPr>
              <w:t>Coding VM</w:t>
            </w:r>
          </w:p>
        </w:tc>
        <w:tc>
          <w:tcPr>
            <w:tcW w:type="dxa" w:w="124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6"/>
              </w:rPr>
              <w:t>Search VM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100 пользователей, production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3 × 8–16 vCPU / 32 GB</w:t>
            </w:r>
          </w:p>
        </w:tc>
        <w:tc>
          <w:tcPr>
            <w:tcW w:type="dxa" w:w="340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2 × 16 vCPU / 64 GB</w:t>
            </w:r>
          </w:p>
        </w:tc>
        <w:tc>
          <w:tcPr>
            <w:tcW w:type="dxa" w:w="20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2 × 16 vCPU / 64 GB</w:t>
            </w:r>
          </w:p>
        </w:tc>
        <w:tc>
          <w:tcPr>
            <w:tcW w:type="dxa" w:w="124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2 × 4 vCPU / 16 GB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1000 пользователей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3 × 16 vCPU / 32 GB</w:t>
            </w:r>
          </w:p>
        </w:tc>
        <w:tc>
          <w:tcPr>
            <w:tcW w:type="dxa" w:w="340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2–3 × 16 vCPU / 64 GB</w:t>
            </w:r>
          </w:p>
        </w:tc>
        <w:tc>
          <w:tcPr>
            <w:tcW w:type="dxa" w:w="20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2–3 × 32 vCPU / 128 GB</w:t>
            </w:r>
          </w:p>
        </w:tc>
        <w:tc>
          <w:tcPr>
            <w:tcW w:type="dxa" w:w="124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2 × 4–8 vCPU / 16 GB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3000 пользователей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3 × 16 vCPU / 32–64 GB</w:t>
            </w:r>
          </w:p>
        </w:tc>
        <w:tc>
          <w:tcPr>
            <w:tcW w:type="dxa" w:w="340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3–4 × 16 vCPU / 64 GB</w:t>
            </w:r>
          </w:p>
        </w:tc>
        <w:tc>
          <w:tcPr>
            <w:tcW w:type="dxa" w:w="20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4–6 × 32 vCPU / 128 GB</w:t>
            </w:r>
          </w:p>
        </w:tc>
        <w:tc>
          <w:tcPr>
            <w:tcW w:type="dxa" w:w="124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6"/>
              </w:rPr>
              <w:t>2 × 8 vCPU / 16 GB</w:t>
            </w:r>
          </w:p>
        </w:tc>
      </w:tr>
    </w:tbl>
    <w:p>
      <w:pPr>
        <w:spacing w:after="40"/>
      </w:pPr>
    </w:p>
    <w:p>
      <w:r>
        <w:t>Эта таблица задаёт стартовые профили с совмещёнными service-ролями, а не добавляется к предыдущей. БД (обычно три узла), LB (два, если нет корпоративного), storage, delivery и наблюдаемость учитываются дополнительно по предыдущей таблице. Три service VM позволяют заранее разместить поддерживаемые реплики Temporal и IdP, однако их схемы распределения и зависимости проверяются отдельно. Размещение приложений не создаёт автоматически HA базы данных.</w:t>
      </w:r>
    </w:p>
    <w:p>
      <w:r>
        <w:t xml:space="preserve">Базовая coding-среда для расчёта — 2 vCPU / 4 GB RAM; тяжёлые сборки получают иной профиль. При резерве 25% на узел и N+1 число coding VM рассчитывается как </w:t>
      </w:r>
      <w:r>
        <w:rPr>
          <w:rFonts w:ascii="Noto Sans Mono" w:hAnsi="Noto Sans Mono"/>
          <w:sz w:val="18"/>
        </w:rPr>
        <w:t>ceil(одновременные среды × vCPU среды / (vCPU узла × 0,75)) + 1</w:t>
      </w:r>
      <w:r>
        <w:t>, затем проверяется по RAM и диску. Для 60 сред и 32-vCPU узлов получается шесть VM; для 30 — четыре. Это расчёт допуска ресурсов, не обещание быстродействия конкретной сборки.</w:t>
      </w:r>
    </w:p>
    <w:p>
      <w:r>
        <w:t>Корпоративное S3 и backup storage предполагаются внешними сервисами. При их отсутствии требуется отдельный расчёт storage: исходные файлы + артефакты + версии + retention + резервные копии + репликационный overhead. Пользователи сами по себе не определяют дисковый объём.</w:t>
      </w:r>
    </w:p>
    <w:p>
      <w:r>
        <w:t>Сеть: начальный ориентир 1 Gbit/s для приложения; для интенсивной передачи файлов/backup между data и execution-пулами проверить 10 Gbit/s. Для БД важнее измеренная latency/fsync/IOPS, чем только размер диска.</w:t>
      </w:r>
    </w:p>
    <w:p>
      <w:pPr>
        <w:pStyle w:val="Heading1"/>
        <w:pageBreakBefore/>
      </w:pPr>
      <w:r>
        <w:t>28. Offline-установка, обновление и восстановление</w:t>
      </w:r>
    </w:p>
    <w:p>
      <w:r>
        <w:t>Поставка должна полностью устанавливаться при запрете общего интернета. Внешний подготовительный build-процесс собирает разрешённые компоненты, проверяет происхождение и передаёт комплект в контур по регламенту. Production runtime не скачивает зависимости при старте.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313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Состав комплекта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Что фиксируется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Container images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Версия, digest, архитектура, источник и подпись/контрольная сумма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ОС и инструменты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Пакеты Docker/Compose, Python/Go tools, CA и системные зависимости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Automation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Ansible collections, playbooks, inventory templates и миграции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Offline-зависимости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Wheels, npm/Go dependencies, parser/OCR assets и образы песочниц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Конфигурация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Templates без секретов, схема версии и перечень обязательных параметров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Проверки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Preflight, smoke, network-deny probes, restore и upgrade tests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Эксплуатация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Инструкции, SBOM, known issues, rollback и changelog</w:t>
            </w:r>
          </w:p>
        </w:tc>
      </w:tr>
    </w:tbl>
    <w:p>
      <w:pPr>
        <w:spacing w:after="40"/>
      </w:pPr>
    </w:p>
    <w:p>
      <w:pPr>
        <w:pStyle w:val="Heading2"/>
        <w:pageBreakBefore w:val="0"/>
      </w:pPr>
      <w:r>
        <w:t>Проектируемый интерфейс установки</w:t>
      </w:r>
    </w:p>
    <w:p>
      <w:r>
        <w:t>Следующие команды описывают будущий deployment-инструмент; в репозитории они ещё не реализованы. Имена могут измениться при реализации, но операции должны сохраняться.</w:t>
      </w:r>
    </w:p>
    <w:p>
      <w:pPr>
        <w:spacing w:after="160" w:line="245" w:lineRule="auto"/>
        <w:shd w:fill="EDF3F8"/>
      </w:pPr>
      <w:r>
        <w:rPr>
          <w:rFonts w:ascii="Noto Sans Mono" w:hAnsi="Noto Sans Mono"/>
          <w:sz w:val="16"/>
        </w:rPr>
        <w:t>portalctl validate-bundle --bundle ./release-bundle</w:t>
        <w:br/>
      </w:r>
      <w:r>
        <w:rPr>
          <w:rFonts w:ascii="Noto Sans Mono" w:hAnsi="Noto Sans Mono"/>
          <w:sz w:val="16"/>
        </w:rPr>
        <w:t>portalctl preflight --inventory ./production.yml</w:t>
        <w:br/>
      </w:r>
      <w:r>
        <w:rPr>
          <w:rFonts w:ascii="Noto Sans Mono" w:hAnsi="Noto Sans Mono"/>
          <w:sz w:val="16"/>
        </w:rPr>
        <w:t>portalctl install --inventory ./production.yml --offline</w:t>
        <w:br/>
      </w:r>
      <w:r>
        <w:rPr>
          <w:rFonts w:ascii="Noto Sans Mono" w:hAnsi="Noto Sans Mono"/>
          <w:sz w:val="16"/>
        </w:rPr>
        <w:t>portalctl verify --inventory ./production.yml</w:t>
        <w:br/>
      </w:r>
      <w:r>
        <w:rPr>
          <w:rFonts w:ascii="Noto Sans Mono" w:hAnsi="Noto Sans Mono"/>
          <w:sz w:val="16"/>
        </w:rPr>
        <w:t>portalctl backup --inventory ./production.yml</w:t>
        <w:br/>
      </w:r>
      <w:r>
        <w:rPr>
          <w:rFonts w:ascii="Noto Sans Mono" w:hAnsi="Noto Sans Mono"/>
          <w:sz w:val="16"/>
        </w:rPr>
        <w:t>portalctl upgrade --inventory ./production.yml --version X.Y.Z</w:t>
        <w:br/>
      </w:r>
      <w:r>
        <w:rPr>
          <w:rFonts w:ascii="Noto Sans Mono" w:hAnsi="Noto Sans Mono"/>
          <w:sz w:val="16"/>
        </w:rPr>
        <w:t>portalctl restore --inventory ./recovery.yml --backup BACKUP_ID</w:t>
      </w:r>
    </w:p>
    <w:p>
      <w:r>
        <w:t>Preflight проверяет версии ОС, диск, DNS, время, CA, доступы, права каталогов и отсутствие конфликтующих портов. Install импортирует images/пакеты, применяет конфигурацию и миграции, создаёт начальные сущности и запускает проверку. Повтор install не должен дублировать бюджеты, пользователей или настройки.</w:t>
      </w:r>
    </w:p>
    <w:p>
      <w:r>
        <w:t>Upgrade использует health-check, согласованное окно, резервную копию и поузловое обновление где это возможно. Миграции следуют expand/contract. Rollback бинарников не гарантирует rollback необратимой миграции: совместимость фиксируется в манифесте; восстановление данных является отдельной операцией.</w:t>
      </w:r>
    </w:p>
    <w:p>
      <w:r>
        <w:t>Disaster recovery выполняется на чистой инфраструктуре с проверкой целостности, ledger, ACL и активных заданий. Восстановление не должно случайно возобновить уже выполненную рассылку или другой внешний эффект.</w:t>
      </w:r>
    </w:p>
    <w:p>
      <w:pPr>
        <w:pStyle w:val="Heading1"/>
        <w:pageBreakBefore/>
      </w:pPr>
      <w:r>
        <w:t>29. Наблюдаемость, аудит и безопасность</w:t>
      </w:r>
    </w:p>
    <w:p>
      <w:r>
        <w:t>Оператор наблюдает API latency/errors, очередь, активные runs, доступность endpoints, usage completeness, резервы бюджета, document pipeline, sandbox capacity, replication и backup. End-to-end trace связывает API request, run, model call, tool call и артефакт. Экспорт телеметрии разрешён только утверждённым внутренним получателям.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Событие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Обязательные поля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Ограничение содержимого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Вход/блокировка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Principal, IdP, время, результат, источник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 хранить пароль или токен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Изменение политики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Автор, scope, revision, результат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Секреты маскируются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Модельный вызов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Run, connection, price version, usage, duration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Prompt/response не журналировать полностью по умолчанию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Инструмент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Principal, tool/version, разрешение, статус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Аргументы редактируются по schema redaction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Sharing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Объект, grant/revoke, получатель, роль, срок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 раскрывать содержание документа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Инфраструктурная операция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Approved playbook/version, инициатор, targets, результат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Без произвольного shell и root-secret в UI</w:t>
            </w:r>
          </w:p>
        </w:tc>
      </w:tr>
    </w:tbl>
    <w:p>
      <w:pPr>
        <w:spacing w:after="40"/>
      </w:pPr>
    </w:p>
    <w:p>
      <w:r>
        <w:t>Основные угрозы: межпользовательская утечка, prompt injection из документов/веба, SSRF, обход квот, дублирование внешнего действия, escape песочницы, компрометация connector, утечка секретов, вредоносное обновление, неконтролируемый egress и переполнение ресурсов.</w:t>
      </w:r>
    </w:p>
    <w:p>
      <w:r>
        <w:t>Контрмеры включают серверную авторизацию, разделение trust zones, read/write permissions инструментов, изоляцию execution, ограничения сети, проверку supply chain и тесты отрицательных сценариев. Данные из документа не получают полномочия system-инструкции. Вывод модели не принимается как доказательство разрешения действия.</w:t>
      </w:r>
    </w:p>
    <w:p>
      <w:r>
        <w:t>Отдельный документ «Пакет для службы информационной безопасности» содержит подробную модель угроз, сетевые правила, реестр мер, перечень испытаний, регламенты и форму согласования. Он не является сертификатом соответствия и должен быть дополнен нормами конкретной организации.</w:t>
      </w:r>
    </w:p>
    <w:p>
      <w:pPr>
        <w:pStyle w:val="Heading1"/>
        <w:pageBreakBefore/>
      </w:pPr>
      <w:r>
        <w:t>30. Проверки и критерии приёмки</w:t>
      </w:r>
    </w:p>
    <w:p>
      <w:r>
        <w:t>Приёмка включает функциональность, безопасность, экономику и эксплуатацию. Производительность модели измеряется отдельно от overhead портала; нагрузочные тесты приложения используют согласованный mock API и небольшой проверяемый набор реальных вызовов, чтобы не смешивать пределы внешнего провайдера с пределами портала.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ID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Критерий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A01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Два типа модельных подключений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Работают внутренний API и разрешённый внешний API; секреты скрыты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A02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Возможности API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Неподдерживаемый tool/JSON/streaming блокируется до выполнения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A03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LDAP и блокировка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Группа даёт разрешение; отзыв действует в согласованный срок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A04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Разделение данных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Чужие файлы, chunks, события, экспорт и названия закрытых объектов не раскрываются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A05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Общий бюджет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Параллельные calls не расходуют один резерв дважды; ledger сверяется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A06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Аналитика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Filters/aggregates соответствуют ledger/events; share и use различаются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A07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Помощники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Версия закрепляется в run; публикация не передаёт права автора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A08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Продолжительное задание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Закрытие UI не останавливает run; worker fault обрабатывается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A09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Интернет-изоляция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Workers/sandbox не выходят в интернет и не используют обходной proxy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A10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Search/fetch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Разрешённый search работает; SSRF/redirect/private IP блокируются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A11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Код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Отдельная среда, тесты, diff и ограничения ресурсов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A12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MCP/SMTP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Авторизация на вызове; запрещённый адресат/endpoint отклоняется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A13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Offline install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Установка на чистых VM без общего интернета; повтор идемпотентен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A14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Upgrade/restore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Проверенный сценарий миграции и восстановления из backup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A15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Экономика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Отчёт качества и всех costs по runtime; нет скрытых retries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A16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Темизация UI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Цвета/иконки/плотность сохраняются; contrast и layout проверены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A17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Глобальное управление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Revision, права и аудит; инфраструктурная операция ограничена playbook</w:t>
            </w:r>
          </w:p>
        </w:tc>
      </w:tr>
    </w:tbl>
    <w:p>
      <w:pPr>
        <w:spacing w:after="40"/>
      </w:pPr>
    </w:p>
    <w:p>
      <w:r>
        <w:t>Предлагаемые ориентиры overhead приложения: p95 обычного control API до 500 ms при согласованной нагрузке; SSE-событие показывается до одной секунды после сохранения; запуск готового worker до пяти секунд без очереди и cold sandbox. Эти ориентиры не включают генерацию модели, parsing большого файла и ожидание capacity.</w:t>
      </w:r>
    </w:p>
    <w:p>
      <w:r>
        <w:t>Нагрузочные профили: 20, 200 и 600 открытых сессий; отдельно 10, 50 и 120 runs; отдельно кодовые среды. Измеряется скорость постановки задания, DB contention, очередь, память, аналитический lag и поведение после потери узла. Требования окончательно фиксируются до R3.</w:t>
      </w:r>
    </w:p>
    <w:p>
      <w:pPr>
        <w:sectPr>
          <w:pgSz w:w="11906" w:h="16838"/>
          <w:pgMar w:top="1020" w:right="1020" w:bottom="1020" w:left="1077" w:header="454" w:footer="454" w:gutter="0"/>
          <w:cols w:space="720"/>
          <w:docGrid w:linePitch="360"/>
        </w:sectPr>
      </w:pPr>
    </w:p>
    <w:p>
      <w:pPr>
        <w:pStyle w:val="Heading1"/>
        <w:pageBreakBefore w:val="0"/>
      </w:pPr>
      <w:r>
        <w:t>31. Порядок реализации и результаты этапов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9360000" cy="189502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admap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60000" cy="18950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6. Предлагаемая последовательность этапов. Сроки — диапазоны оценки, календарь начинается после готовности команды и среды.</w:t>
      </w:r>
    </w:p>
    <w:p>
      <w:pPr>
        <w:sectPr>
          <w:pgSz w:w="16838" w:h="11906" w:orient="landscape"/>
          <w:pgMar w:top="1020" w:right="1020" w:bottom="1020" w:left="1077" w:header="454" w:footer="454" w:gutter="0"/>
          <w:cols w:space="720"/>
          <w:docGrid w:linePitch="360"/>
        </w:sectPr>
      </w:pPr>
    </w:p>
    <w:p>
      <w:r>
        <w:t>Полный план вынесен в отдельный DOCX. Здесь фиксируются контрольные точки, чтобы описание продукта и план не расходились.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Результат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Условие перехода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0. Границы и eval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Согласованные требования, прототип UI, тестовый корпус, ADR runtime/deployment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Закрыты вопросы прав, API и базовых сценариев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1. Основа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Repository/CI, API/UI shell, OIDC, spaces, secret handling, offline skeleton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Отрицательные ACL-тесты и установка работают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2. Подключения и чат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Каталог API, streaming, версии помощников, ledger и аналитика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Два типа подключений и групповой бюджет проверены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3. Пилот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Документы, search, один workflow, события и monitoring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Пользователи завершают сквозные задания; ИБ допускает пилот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4. Функциональная версия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RAG, сценарии, согласования, код, MCP, SMTP и sharing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Контрактные тесты и экономический regression пройдены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5. Распределение и HA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Multi-VM deployment, capacity, upgrade/restore и fault tests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Согласованная нагрузка и восстановление подтверждены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6. Ввод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Документация, обучение, эксплуатационные регламенты и backlog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Приёмка, владельцы и каналы поддержки назначены</w:t>
            </w:r>
          </w:p>
        </w:tc>
      </w:tr>
    </w:tbl>
    <w:p>
      <w:pPr>
        <w:spacing w:after="40"/>
      </w:pPr>
    </w:p>
    <w:p>
      <w:r>
        <w:t>Оценка базовых работ — 21–28 недель; с резервом на инфраструктуру, согласование и неизвестные интеграции — 24–32 недели. Оценка пилота R1 — 11–15 недель при наличии необходимых API/LDAP и команды. Это не обещание сроков; этап 0 уточняет backlog и capacity команды.</w:t>
      </w:r>
    </w:p>
    <w:p>
      <w:r>
        <w:t>Предлагаемый состав: технический лидер/backend, второй backend-разработчик, frontend-разработчик, runtime/integration-разработчик, QA и DevOps; участие UX, ИБ и владельцев корпоративных сервисов. Часть ролей может совмещаться с изменением сроков. Детальный план содержит зависимости, владельцев и критерии готовности.</w:t>
      </w:r>
    </w:p>
    <w:p>
      <w:pPr>
        <w:pStyle w:val="Heading1"/>
        <w:pageBreakBefore/>
      </w:pPr>
      <w:r>
        <w:t>32. Риски, предположения и открытые решения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Вопрос / риск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Предлагаемое действие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Когда решить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Неизвестная concurrent-нагрузка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Измерить пилот; раздельно считать чат, parsing и code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 фиксации R3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Экономика harness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Eval на одной модели; стоимость принятого результата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Этап 0 и каждый runtime-upgrade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Возможности внешних API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Контрактные тесты usage/tools/streaming/cancel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 публикации подключения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Сложность Kubernetes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Compose + Ansible по умолчанию; Nomad/K8s только по критериям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Этап 0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Недоступность LDAP/SMTP/Git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Mock для разработки и тестовый endpoint владельца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Этап 1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Общий бюджет при параллельности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Ledger reservations, неизвестный usage и fault tests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Этап 2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Нет корпоративного S3/HA PostgreSQL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Отдельный infrastructure backlog и ресурсный расчёт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 R3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Неполные mirrors для code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Каталог технологий и заранее подготовленные sandbox images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 coding-пилота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License/Enterprise functions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Проверить выбранные версии и нужные возможности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 включения компонента в поставку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Privacy аналитики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Роли, минимальные события, export ACL и retention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До пользовательского пилота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Темизация ухудшает читаемость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Ограниченные design tokens и проверка контраста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Этап 1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Несогласованные требования ИБ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Передать отдельный пакет, провести review и закрыть замечания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Этап 0 → R3</w:t>
            </w:r>
          </w:p>
        </w:tc>
      </w:tr>
    </w:tbl>
    <w:p>
      <w:pPr>
        <w:spacing w:after="40"/>
      </w:pPr>
    </w:p>
    <w:p>
      <w:r>
        <w:t>Не требуется согласовывать все будущие возможности до первой строки кода. Необходимо заранее закрыть границы данных, сетевые пути, идентичности и критерии приёмки. Неизвестные размеры нагрузки и точные цены не блокируют реализацию учёта и совместимого каталога подключений.</w:t>
      </w:r>
    </w:p>
    <w:p>
      <w:pPr>
        <w:pStyle w:val="Heading1"/>
        <w:pageBreakBefore/>
      </w:pPr>
      <w:r>
        <w:t>33. Источники и терминология</w:t>
      </w:r>
    </w:p>
    <w:p>
      <w:r>
        <w:t>Проверка документации: 02.10.2026. Источники подтверждают возможности компонентов и публичные архитектурные подходы; собственные проектные требования, сроки, ресурсы и численные пределы являются предложениями этого документа. Версии и лицензии повторно проверяются перед поставкой.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313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Ссылка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Первичный источник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S01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hyperlink r:id="rId17">
              <w:r>
                <w:rPr>
                  <w:color w:val="2563EB"/>
                </w:rPr>
                <w:t>Deep Agents: возможности и контекст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S02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hyperlink r:id="rId18">
              <w:r>
                <w:rPr>
                  <w:color w:val="2563EB"/>
                </w:rPr>
                <w:t>LangGraph: сохранение состояния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S03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hyperlink r:id="rId19">
              <w:r>
                <w:rPr>
                  <w:color w:val="2563EB"/>
                </w:rPr>
                <w:t>Temporal: self-hosted deployment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S04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hyperlink r:id="rId20">
              <w:r>
                <w:rPr>
                  <w:color w:val="2563EB"/>
                </w:rPr>
                <w:t>LiteLLM: бюджеты и ограничения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S05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hyperlink r:id="rId21">
              <w:r>
                <w:rPr>
                  <w:color w:val="2563EB"/>
                </w:rPr>
                <w:t>Keycloak: администрирование и LDAP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S06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hyperlink r:id="rId22">
              <w:r>
                <w:rPr>
                  <w:color w:val="2563EB"/>
                </w:rPr>
                <w:t>Docker Compose в production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S07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hyperlink r:id="rId23">
              <w:r>
                <w:rPr>
                  <w:color w:val="2563EB"/>
                </w:rPr>
                <w:t>K3s: offline-установка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S08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hyperlink r:id="rId24">
              <w:r>
                <w:rPr>
                  <w:color w:val="2563EB"/>
                </w:rPr>
                <w:t>SearXNG: исходящие соединения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S09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hyperlink r:id="rId25">
              <w:r>
                <w:rPr>
                  <w:color w:val="2563EB"/>
                </w:rPr>
                <w:t>Docling: обработка документов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S10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hyperlink r:id="rId26">
              <w:r>
                <w:rPr>
                  <w:color w:val="2563EB"/>
                </w:rPr>
                <w:t>OpenHands Software Agent SDK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S11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hyperlink r:id="rId27">
              <w:r>
                <w:rPr>
                  <w:color w:val="2563EB"/>
                </w:rPr>
                <w:t>pgvector: retrieval и фильтрация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S12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hyperlink r:id="rId28">
              <w:r>
                <w:rPr>
                  <w:color w:val="2563EB"/>
                </w:rPr>
                <w:t>Deep Agents: ограничения backend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S13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hyperlink r:id="rId29">
              <w:r>
                <w:rPr>
                  <w:color w:val="2563EB"/>
                </w:rPr>
                <w:t>MCP: рекомендации по безопасности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S14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hyperlink r:id="rId30">
              <w:r>
                <w:rPr>
                  <w:color w:val="2563EB"/>
                </w:rPr>
                <w:t>OpenAI Agents SDK: исполнение в приложении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S15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hyperlink r:id="rId31">
              <w:r>
                <w:rPr>
                  <w:color w:val="2563EB"/>
                </w:rPr>
                <w:t>Dify: лицензия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S16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hyperlink r:id="rId32">
              <w:r>
                <w:rPr>
                  <w:color w:val="2563EB"/>
                </w:rPr>
                <w:t>Pydantic AI: официальный обзор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S17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hyperlink r:id="rId33">
              <w:r>
                <w:rPr>
                  <w:color w:val="2563EB"/>
                </w:rPr>
                <w:t>Anthropic: построение эффективных агентов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S18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hyperlink r:id="rId34">
              <w:r>
                <w:rPr>
                  <w:color w:val="2563EB"/>
                </w:rPr>
                <w:t>Anthropic: Claude Agent SDK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S19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hyperlink r:id="rId35">
              <w:r>
                <w:rPr>
                  <w:color w:val="2563EB"/>
                </w:rPr>
                <w:t>Anthropic: архитектура Managed Agents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S20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hyperlink r:id="rId36">
              <w:r>
                <w:rPr>
                  <w:color w:val="2563EB"/>
                </w:rPr>
                <w:t>Anthropic: multi-agent research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S21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hyperlink r:id="rId37">
              <w:r>
                <w:rPr>
                  <w:color w:val="2563EB"/>
                </w:rPr>
                <w:t>Ansible: управление Compose v2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S22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hyperlink r:id="rId38">
              <w:r>
                <w:rPr>
                  <w:color w:val="2563EB"/>
                </w:rPr>
                <w:t>Nomad: архитектура и назначение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S23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hyperlink r:id="rId39">
              <w:r>
                <w:rPr>
                  <w:color w:val="2563EB"/>
                </w:rPr>
                <w:t>Nomad: лицензия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S24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hyperlink r:id="rId40">
              <w:r>
                <w:rPr>
                  <w:color w:val="2563EB"/>
                </w:rPr>
                <w:t>K3s: сетевые требования</w:t>
              </w:r>
            </w:hyperlink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S25</w:t>
            </w:r>
          </w:p>
        </w:tc>
        <w:tc>
          <w:tcPr>
            <w:tcW w:type="dxa" w:w="7313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hyperlink r:id="rId41">
              <w:r>
                <w:rPr>
                  <w:color w:val="2563EB"/>
                </w:rPr>
                <w:t>Temporal: выполнение Activities</w:t>
              </w:r>
            </w:hyperlink>
          </w:p>
        </w:tc>
      </w:tr>
    </w:tbl>
    <w:p>
      <w:pPr>
        <w:spacing w:after="40"/>
      </w:pPr>
    </w:p>
    <w:p>
      <w:r>
        <w:t>Точные порты необязательного Nomad-профиля подтверждаются deployment review выбранной версии.</w:t>
      </w:r>
    </w:p>
    <w:p>
      <w:r>
        <w:rPr>
          <w:b/>
        </w:rPr>
        <w:t>Harness</w:t>
      </w:r>
      <w:r>
        <w:t xml:space="preserve"> — готовый агентный цикл и работа с контекстом/tools. </w:t>
      </w:r>
      <w:r>
        <w:rPr>
          <w:b/>
        </w:rPr>
        <w:t>Runtime</w:t>
      </w:r>
      <w:r>
        <w:t xml:space="preserve"> — процесс, исполняющий этот цикл. </w:t>
      </w:r>
      <w:r>
        <w:rPr>
          <w:b/>
        </w:rPr>
        <w:t>Workflow</w:t>
      </w:r>
      <w:r>
        <w:t xml:space="preserve"> — управляемый сценарий. </w:t>
      </w:r>
      <w:r>
        <w:rPr>
          <w:b/>
        </w:rPr>
        <w:t>Control plane</w:t>
      </w:r>
      <w:r>
        <w:t xml:space="preserve"> — управление политиками и конфигурацией. </w:t>
      </w:r>
      <w:r>
        <w:rPr>
          <w:b/>
        </w:rPr>
        <w:t>Ledger</w:t>
      </w:r>
      <w:r>
        <w:t xml:space="preserve"> — журнал бюджетных операций. </w:t>
      </w:r>
      <w:r>
        <w:rPr>
          <w:b/>
        </w:rPr>
        <w:t>ACL</w:t>
      </w:r>
      <w:r>
        <w:t xml:space="preserve"> — права объекта. </w:t>
      </w:r>
      <w:r>
        <w:rPr>
          <w:b/>
        </w:rPr>
        <w:t>Egress</w:t>
      </w:r>
      <w:r>
        <w:t xml:space="preserve"> — исходящий сетевой доступ. </w:t>
      </w:r>
      <w:r>
        <w:rPr>
          <w:b/>
        </w:rPr>
        <w:t>RAG</w:t>
      </w:r>
      <w:r>
        <w:t xml:space="preserve"> — поиск доступных фрагментов для формирования ответа. </w:t>
      </w:r>
      <w:r>
        <w:rPr>
          <w:b/>
        </w:rPr>
        <w:t>Run</w:t>
      </w:r>
      <w:r>
        <w:t xml:space="preserve"> — конкретное выполнение задания. </w:t>
      </w:r>
      <w:r>
        <w:rPr>
          <w:b/>
        </w:rPr>
        <w:t>Sharing</w:t>
      </w:r>
      <w:r>
        <w:t xml:space="preserve"> — выдача доступа или публикация; </w:t>
      </w:r>
      <w:r>
        <w:rPr>
          <w:b/>
        </w:rPr>
        <w:t>usage</w:t>
      </w:r>
      <w:r>
        <w:t xml:space="preserve"> — фактическое использование. </w:t>
      </w:r>
      <w:r>
        <w:rPr>
          <w:b/>
        </w:rPr>
        <w:t>RPO/RTO</w:t>
      </w:r>
      <w:r>
        <w:t xml:space="preserve"> — допустимая потеря данных и время восстановления.</w:t>
      </w:r>
    </w:p>
    <w:p>
      <w:pPr>
        <w:pStyle w:val="Heading1"/>
        <w:pageBreakBefore/>
      </w:pPr>
      <w:r>
        <w:t>34. Дизайн портала и панели управления</w:t>
      </w:r>
    </w:p>
    <w:p>
      <w:r>
        <w:t>Интерфейс состоит из двух связанных режимов: «Портал» для сотрудников и «Управление» для администраторов/операторов. Переход между ними находится в постоянной навигации. Право входа в режим управления не даёт автоматического чтения пользовательских документов.</w:t>
      </w:r>
    </w:p>
    <w:p>
      <w:pPr>
        <w:pStyle w:val="Heading2"/>
        <w:pageBreakBefore w:val="0"/>
      </w:pPr>
      <w:r>
        <w:t>Портал</w:t>
      </w:r>
    </w:p>
    <w:p>
      <w:r>
        <w:t>Левая панель: рабочая область, помощники, сценарии, документы, инструменты, подключения и аналитика. Центр: диалог, редактор или список. Правая панель контекста появляется только когда полезна — источники, версии, артефакты и лимиты задания. В длинном диалоге input остаётся доступным, а progress не вытесняет ответ.</w:t>
      </w:r>
    </w:p>
    <w:p>
      <w:r>
        <w:t>Помощники отображаются карточками с назначением, владельцем, версией и областью публикации. Editor имеет разделы «Инструкция», «Модель», «Инструменты», «Знания», «Ограничения» и «Доступ». Сохранение черновика и публикация версии разделены. Пользователь видит только доступные tools, без списка скрытых запрещённых ресурсов.</w:t>
      </w:r>
    </w:p>
    <w:p>
      <w:r>
        <w:t>Экран подключений показывает внутренний/внешний маршрут, тип API, health, capabilities и разрешённые группы. Полный endpoint доступен уполномоченному администратору; ключ не показывается. Аналитика имеет вкладки «Расход», «Использование», «Инструменты», «Документы» и «Совместный доступ».</w:t>
      </w:r>
    </w:p>
    <w:p>
      <w:pPr>
        <w:pStyle w:val="Heading2"/>
        <w:pageBreakBefore w:val="0"/>
      </w:pPr>
      <w:r>
        <w:t>Управление</w:t>
      </w:r>
    </w:p>
    <w:p>
      <w:r>
        <w:t>Разделы: обзор, задания, очереди/workers, инфраструктура, политики, глобальная конфигурация, оформление и аудит. В обзоре — доступность сервисов, backlog, budget warnings и незакрытые согласования. Задание имеет timeline, закреплённые версии, usage, разрешённые артефакты и действия остановки/продолжения по роли.</w:t>
      </w:r>
    </w:p>
    <w:p>
      <w:r>
        <w:t>Инфраструктурный экран показывает VM, закреплённые роли, версии, capacity, maintenance и drift. В Compose-профиле добавление worker означает применение inventory через утверждённый deployment process, а не обещание автоматически создать VM. Оркестратор Nomad/Kubernetes отображается только если такой профиль реально установлен.</w:t>
      </w:r>
    </w:p>
    <w:p>
      <w:pPr>
        <w:pStyle w:val="Heading2"/>
        <w:pageBreakBefore w:val="0"/>
      </w:pPr>
      <w:r>
        <w:t>Настраиваемая визуальная система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3798"/>
        <w:gridCol w:w="4195"/>
      </w:tblGrid>
      <w:tr>
        <w:trPr>
          <w:tblHeader/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Уровень настройки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16324F"/>
          </w:tcPr>
          <w:p>
            <w:pPr>
              <w:spacing w:after="40" w:before="40" w:line="250" w:lineRule="auto"/>
            </w:pPr>
            <w:r>
              <w:rPr>
                <w:b/>
                <w:color w:val="FFFFFF"/>
                <w:sz w:val="18"/>
              </w:rPr>
              <w:t>Ограничение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Название, логотип и акцент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Организация / пространство по разрешению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Проверенные изображения; никакого исполняемого HTML/SVG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Light/dark/system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Пользователь; глобальный default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Сохранить контраст и состояния disabled/error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Цвета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Design tokens: surface/text/accent/border/status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Проверка WCAG-контраста; semantic colors сохраняют смысл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Иконки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Утверждённые наборы и mapping пунктов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Accessible labels, одинаковая оптическая ширина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Плотность и размеры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Comfortable/compact, размер текста и панели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Минимальная кликабельная зона и перенос текста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Скругления и карточки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Настройки темы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FFFFFF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 менять layout произвольным пользовательским CSS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Форматы</w:t>
            </w:r>
          </w:p>
        </w:tc>
        <w:tc>
          <w:tcPr>
            <w:tcW w:type="dxa" w:w="379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Язык, дата, timezone и валюта</w:t>
            </w:r>
          </w:p>
        </w:tc>
        <w:tc>
          <w:tcPr>
            <w:tcW w:type="dxa" w:w="4195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shd w:fill="EDF3F8"/>
          </w:tcPr>
          <w:p>
            <w:pPr>
              <w:spacing w:after="40" w:before="40" w:line="250" w:lineRule="auto"/>
            </w:pPr>
            <w:r>
              <w:rPr>
                <w:sz w:val="18"/>
              </w:rPr>
              <w:t>Не менять валюту фактического ledger без конвертации</w:t>
            </w:r>
          </w:p>
        </w:tc>
      </w:tr>
    </w:tbl>
    <w:p>
      <w:pPr>
        <w:spacing w:after="40"/>
      </w:pPr>
    </w:p>
    <w:p>
      <w:r>
        <w:t>Все экраны используют общие tokens. Новая тема предварительно просматривается на портале, аналитике и панели управления. Администратор может вернуть прошлую revision; личные настройки не переопределяют ограничения безопасности. В интерактивном макете используются собственные SVG-иконки, синтетические данные и локальное сохранение настройки оформления.</w:t>
      </w:r>
    </w:p>
    <w:p>
      <w:pPr>
        <w:pStyle w:val="Heading2"/>
        <w:pageBreakBefore w:val="0"/>
      </w:pPr>
      <w:r>
        <w:t>Состояния и взаимодействия</w:t>
      </w:r>
    </w:p>
    <w:p>
      <w:r>
        <w:t>Для каждого экрана проектируются loading, empty, error, forbidden, partial-data и success. Действие с внешним эффектом имеет review параметров; отмена подтверждается. Фильтры аналитики сохраняются при drill-down и возврате. Таблицы имеют поиск, сортировку/пагинацию в production и доступный export. Клавиатурная навигация, видимый focus и подписи иконок обязательны.</w:t>
      </w:r>
    </w:p>
    <w:p>
      <w:r>
        <w:t>Предоставленный HTML-макет является проектным артефактом, а не подключённым production-порталом. Он нужен для согласования структуры, визуальной системы и основных взаимодействий до реализации API.</w:t>
      </w:r>
    </w:p>
    <w:p>
      <w:pPr>
        <w:sectPr>
          <w:pgSz w:w="11906" w:h="16838"/>
          <w:pgMar w:top="1020" w:right="1020" w:bottom="1020" w:left="1077" w:header="454" w:footer="454" w:gutter="0"/>
          <w:cols w:space="720"/>
          <w:docGrid w:linePitch="360"/>
        </w:sectPr>
      </w:pPr>
    </w:p>
    <w:p>
      <w:pPr>
        <w:pStyle w:val="Heading2"/>
        <w:pageBreakBefore w:val="0"/>
      </w:pPr>
      <w:r>
        <w:t>Рабочая область: визуальный макет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8352000" cy="522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i_workspac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352000" cy="52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7. Диалог, контекст документов, источники и бюджет задания. Макет на синтетических данных.</w:t>
      </w:r>
    </w:p>
    <w:p>
      <w:pPr>
        <w:pStyle w:val="Heading2"/>
        <w:pageBreakBefore/>
      </w:pPr>
      <w:r>
        <w:t>Аналитика: визуальный макет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7457142" cy="521999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i_analytics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457142" cy="521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8. Динамика расхода и распределение по API-подключениям; цены условные.</w:t>
      </w:r>
    </w:p>
    <w:p>
      <w:pPr>
        <w:pStyle w:val="Heading2"/>
        <w:pageBreakBefore/>
      </w:pPr>
      <w:r>
        <w:t>Управление: визуальный макет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8352000" cy="5220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i_overview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352000" cy="52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9. Обзор приложения: сервисы, задания, согласования и предупреждения.</w:t>
      </w:r>
    </w:p>
    <w:p>
      <w:pPr>
        <w:pStyle w:val="Heading2"/>
        <w:pageBreakBefore/>
      </w:pPr>
      <w:r>
        <w:t>Инфраструктура: визуальный макет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8352000" cy="5220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i_infrastructur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352000" cy="52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10. Разрешённые операции с узлами. Карточки иллюстративны и не заменяют production-инвентарь.</w:t>
      </w:r>
    </w:p>
    <w:p>
      <w:pPr>
        <w:pStyle w:val="Heading2"/>
        <w:pageBreakBefore/>
      </w:pPr>
      <w:r>
        <w:t>Настройки оформления: визуальный макет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8352000" cy="5220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i_branding_dark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352000" cy="522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Рисунок 11. Настраиваемая тема: тёмный режим, бирюзовый акцент и усиленный набор иконок.</w:t>
      </w:r>
    </w:p>
    <w:sectPr w:rsidR="00FC693F" w:rsidRPr="0006063C" w:rsidSect="00034616">
      <w:pgSz w:w="16838" w:h="11906" w:orient="landscape"/>
      <w:pgMar w:top="1020" w:right="1020" w:bottom="1020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46579"/>
        <w:sz w:val="16"/>
      </w:rPr>
      <w:t xml:space="preserve">Проект v0.1  •  02.10.2026  |  </w:t>
    </w:r>
    <w:r>
      <w:rPr>
        <w:color w:val="546579"/>
        <w:sz w:val="16"/>
      </w:rPr>
      <w:fldChar w:fldCharType="begin"/>
      <w:instrText xml:space="preserve"> PAGE </w:instrText>
      <w:fldChar w:fldCharType="end"/>
    </w:r>
    <w:r>
      <w:rPr>
        <w:color w:val="546579"/>
        <w:sz w:val="16"/>
      </w:rPr>
      <w:t xml:space="preserve"> / </w:t>
    </w:r>
    <w:r>
      <w:rPr>
        <w:color w:val="546579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46579"/>
        <w:sz w:val="16"/>
      </w:rPr>
      <w:t>КОРПОРАТИВНЫЙ АГЕНТНЫЙ ПОРТАЛ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Noto Sans" w:hAnsi="Noto Sans"/>
      <w:color w:val="16324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200"/>
      <w:outlineLvl w:val="0"/>
    </w:pPr>
    <w:rPr>
      <w:rFonts w:asciiTheme="majorHAnsi" w:eastAsiaTheme="majorEastAsia" w:hAnsiTheme="majorHAnsi" w:cstheme="majorBidi" w:ascii="Noto Sans" w:hAnsi="Noto Sans"/>
      <w:b/>
      <w:bCs/>
      <w:color w:val="16324F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200"/>
      <w:outlineLvl w:val="1"/>
    </w:pPr>
    <w:rPr>
      <w:rFonts w:asciiTheme="majorHAnsi" w:eastAsiaTheme="majorEastAsia" w:hAnsiTheme="majorHAnsi" w:cstheme="majorBidi" w:ascii="Noto Sans" w:hAnsi="Noto Sans"/>
      <w:b/>
      <w:bCs/>
      <w:color w:val="16324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200"/>
      <w:outlineLvl w:val="2"/>
    </w:pPr>
    <w:rPr>
      <w:rFonts w:asciiTheme="majorHAnsi" w:eastAsiaTheme="majorEastAsia" w:hAnsiTheme="majorHAnsi" w:cstheme="majorBidi" w:ascii="Noto Sans" w:hAnsi="Noto Sans"/>
      <w:b/>
      <w:bCs/>
      <w:color w:val="16324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Noto Sans" w:hAnsi="Noto Sans"/>
      <w:b/>
      <w:color w:val="16324F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69" w:lineRule="auto"/>
    </w:pPr>
    <w:rPr>
      <w:rFonts w:ascii="Noto Sans" w:hAnsi="Noto Sans"/>
      <w:color w:val="16324F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Noto Sans" w:hAnsi="Noto Sans"/>
      <w:color w:val="16324F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20" w:line="269" w:lineRule="auto"/>
      <w:contextualSpacing/>
    </w:pPr>
    <w:rPr>
      <w:rFonts w:ascii="Noto Sans" w:hAnsi="Noto Sans"/>
      <w:color w:val="16324F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spacing w:line="240" w:lineRule="auto" w:after="200"/>
    </w:pPr>
    <w:rPr>
      <w:rFonts w:ascii="Noto Sans" w:hAnsi="Noto Sans"/>
      <w:b/>
      <w:bCs/>
      <w:color w:val="546579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hyperlink" Target="https://docs.langchain.com/oss/python/deepagents/overview" TargetMode="External"/><Relationship Id="rId18" Type="http://schemas.openxmlformats.org/officeDocument/2006/relationships/hyperlink" Target="https://docs.langchain.com/oss/python/langgraph/persistence" TargetMode="External"/><Relationship Id="rId19" Type="http://schemas.openxmlformats.org/officeDocument/2006/relationships/hyperlink" Target="https://docs.temporal.io/self-hosted-guide" TargetMode="External"/><Relationship Id="rId20" Type="http://schemas.openxmlformats.org/officeDocument/2006/relationships/hyperlink" Target="https://docs.litellm.ai/docs/proxy/users" TargetMode="External"/><Relationship Id="rId21" Type="http://schemas.openxmlformats.org/officeDocument/2006/relationships/hyperlink" Target="https://www.keycloak.org/docs/latest/server_admin/index.html" TargetMode="External"/><Relationship Id="rId22" Type="http://schemas.openxmlformats.org/officeDocument/2006/relationships/hyperlink" Target="https://docs.docker.com/compose/how-tos/production/" TargetMode="External"/><Relationship Id="rId23" Type="http://schemas.openxmlformats.org/officeDocument/2006/relationships/hyperlink" Target="https://docs.k3s.io/installation/airgap" TargetMode="External"/><Relationship Id="rId24" Type="http://schemas.openxmlformats.org/officeDocument/2006/relationships/hyperlink" Target="https://docs.searxng.org/admin/settings/settings_outgoing.html" TargetMode="External"/><Relationship Id="rId25" Type="http://schemas.openxmlformats.org/officeDocument/2006/relationships/hyperlink" Target="https://docling-project.github.io/docling/" TargetMode="External"/><Relationship Id="rId26" Type="http://schemas.openxmlformats.org/officeDocument/2006/relationships/hyperlink" Target="https://docs.openhands.dev/sdk" TargetMode="External"/><Relationship Id="rId27" Type="http://schemas.openxmlformats.org/officeDocument/2006/relationships/hyperlink" Target="https://github.com/pgvector/pgvector" TargetMode="External"/><Relationship Id="rId28" Type="http://schemas.openxmlformats.org/officeDocument/2006/relationships/hyperlink" Target="https://docs.langchain.com/oss/python/deepagents/backends" TargetMode="External"/><Relationship Id="rId29" Type="http://schemas.openxmlformats.org/officeDocument/2006/relationships/hyperlink" Target="https://modelcontextprotocol.io/docs/draft/tutorials/security/security_best_practices" TargetMode="External"/><Relationship Id="rId30" Type="http://schemas.openxmlformats.org/officeDocument/2006/relationships/hyperlink" Target="https://developers.openai.com/api/docs/guides/agents/sdk" TargetMode="External"/><Relationship Id="rId31" Type="http://schemas.openxmlformats.org/officeDocument/2006/relationships/hyperlink" Target="https://github.com/langgenius/dify/blob/main/LICENSE" TargetMode="External"/><Relationship Id="rId32" Type="http://schemas.openxmlformats.org/officeDocument/2006/relationships/hyperlink" Target="https://pydantic.dev/docs/ai/overview/" TargetMode="External"/><Relationship Id="rId33" Type="http://schemas.openxmlformats.org/officeDocument/2006/relationships/hyperlink" Target="https://www.anthropic.com/engineering/building-effective-agents" TargetMode="External"/><Relationship Id="rId34" Type="http://schemas.openxmlformats.org/officeDocument/2006/relationships/hyperlink" Target="https://claude.com/blog/building-agents-with-the-claude-agent-sdk" TargetMode="External"/><Relationship Id="rId35" Type="http://schemas.openxmlformats.org/officeDocument/2006/relationships/hyperlink" Target="https://www.anthropic.com/engineering/managed-agents" TargetMode="External"/><Relationship Id="rId36" Type="http://schemas.openxmlformats.org/officeDocument/2006/relationships/hyperlink" Target="https://www.anthropic.com/engineering/multi-agent-research-system" TargetMode="External"/><Relationship Id="rId37" Type="http://schemas.openxmlformats.org/officeDocument/2006/relationships/hyperlink" Target="https://docs.ansible.com/projects/ansible/latest/collections/community/docker/docker_compose_v2_module.html" TargetMode="External"/><Relationship Id="rId38" Type="http://schemas.openxmlformats.org/officeDocument/2006/relationships/hyperlink" Target="https://developer.hashicorp.com/nomad/docs/what-is-nomad" TargetMode="External"/><Relationship Id="rId39" Type="http://schemas.openxmlformats.org/officeDocument/2006/relationships/hyperlink" Target="https://github.com/hashicorp/nomad/blob/main/LICENSE" TargetMode="External"/><Relationship Id="rId40" Type="http://schemas.openxmlformats.org/officeDocument/2006/relationships/hyperlink" Target="https://docs.k3s.io/installation/requirements" TargetMode="External"/><Relationship Id="rId41" Type="http://schemas.openxmlformats.org/officeDocument/2006/relationships/hyperlink" Target="https://docs.temporal.io/activity-execution" TargetMode="External"/><Relationship Id="rId42" Type="http://schemas.openxmlformats.org/officeDocument/2006/relationships/image" Target="media/image7.png"/><Relationship Id="rId43" Type="http://schemas.openxmlformats.org/officeDocument/2006/relationships/image" Target="media/image8.png"/><Relationship Id="rId44" Type="http://schemas.openxmlformats.org/officeDocument/2006/relationships/image" Target="media/image9.png"/><Relationship Id="rId45" Type="http://schemas.openxmlformats.org/officeDocument/2006/relationships/image" Target="media/image10.png"/><Relationship Id="rId46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Корпоративный
агентный портал</dc:title>
  <dc:subject>Функциональная концепция и техническая архитектура</dc:subject>
  <dc:creator>Проектная команда корпоративного агентного портала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ru-RU</dc:language>
</cp:coreProperties>
</file>